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E36901" w:rsidRDefault="00EE5B4F">
                <w:pPr>
                  <w:rPr>
                    <w:rFonts w:ascii="Arial (W1)" w:hAnsi="Arial (W1)"/>
                    <w:b/>
                    <w:bCs/>
                    <w:noProof w:val="0"/>
                    <w:sz w:val="28"/>
                    <w:szCs w:val="28"/>
                  </w:rPr>
                </w:pPr>
                <w:r>
                  <w:rPr>
                    <w:rFonts w:hint="cs"/>
                    <w:b/>
                    <w:bCs/>
                    <w:noProof w:val="0"/>
                    <w:sz w:val="28"/>
                    <w:rtl/>
                  </w:rPr>
                  <w:t>תובעת</w:t>
                </w:r>
              </w:p>
            </w:sdtContent>
          </w:sdt>
        </w:tc>
        <w:tc>
          <w:tcPr>
            <w:tcW w:w="5571" w:type="dxa"/>
          </w:tcPr>
          <w:p w:rsidR="00EE5B4F" w:rsidRDefault="003E3E61">
            <w:pPr>
              <w:rPr>
                <w:b/>
                <w:bCs/>
                <w:noProof w:val="0"/>
                <w:sz w:val="28"/>
                <w:rtl/>
              </w:rPr>
            </w:pPr>
            <w:r>
              <w:rPr>
                <w:rFonts w:hint="cs"/>
                <w:b/>
                <w:bCs/>
                <w:noProof w:val="0"/>
                <w:sz w:val="28"/>
                <w:rtl/>
              </w:rPr>
              <w:t>פלונית</w:t>
            </w:r>
          </w:p>
          <w:p w:rsidR="006816EC" w:rsidRPr="00666BBA" w:rsidRDefault="00E44DDF">
            <w:pPr>
              <w:rPr>
                <w:rFonts w:ascii="Arial (W1)" w:hAnsi="Arial (W1)"/>
                <w:b/>
                <w:bCs/>
                <w:noProof w:val="0"/>
              </w:rPr>
            </w:pPr>
            <w:r w:rsidRPr="00666BBA">
              <w:rPr>
                <w:rFonts w:ascii="Arial" w:hAnsi="Arial"/>
                <w:b/>
                <w:bCs/>
                <w:noProof w:val="0"/>
                <w:rtl/>
              </w:rPr>
              <w:t>ע"י ב"כ עוה"ד</w:t>
            </w:r>
            <w:r w:rsidR="00EE5B4F" w:rsidRPr="00666BBA">
              <w:rPr>
                <w:rFonts w:ascii="Arial" w:hAnsi="Arial" w:hint="cs"/>
                <w:b/>
                <w:bCs/>
                <w:noProof w:val="0"/>
                <w:rtl/>
              </w:rPr>
              <w:t xml:space="preserve"> נעמי דפנה נחום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AE0B84">
            <w:pPr>
              <w:rPr>
                <w:rFonts w:ascii="Arial (W1)" w:hAnsi="Arial (W1)"/>
                <w:b/>
                <w:bCs/>
                <w:noProof w:val="0"/>
                <w:sz w:val="28"/>
                <w:szCs w:val="28"/>
              </w:rPr>
            </w:pPr>
            <w:sdt>
              <w:sdtPr>
                <w:rPr>
                  <w:rFonts w:hint="cs"/>
                  <w:rtl/>
                </w:rPr>
                <w:alias w:val="1184"/>
                <w:tag w:val="1184"/>
                <w:id w:val="-910234160"/>
                <w:text w:multiLine="1"/>
              </w:sdtPr>
              <w:sdtEndPr/>
              <w:sdtContent>
                <w:r w:rsidR="00EE5B4F">
                  <w:rPr>
                    <w:rFonts w:hint="cs"/>
                    <w:b/>
                    <w:bCs/>
                    <w:noProof w:val="0"/>
                    <w:sz w:val="28"/>
                    <w:rtl/>
                  </w:rPr>
                  <w:t>נתבע</w:t>
                </w:r>
              </w:sdtContent>
            </w:sdt>
          </w:p>
        </w:tc>
        <w:tc>
          <w:tcPr>
            <w:tcW w:w="5571" w:type="dxa"/>
          </w:tcPr>
          <w:p w:rsidR="00EE5B4F" w:rsidRDefault="003E3E61">
            <w:pPr>
              <w:rPr>
                <w:rFonts w:ascii="Arial" w:hAnsi="Arial"/>
                <w:b/>
                <w:bCs/>
                <w:noProof w:val="0"/>
                <w:sz w:val="26"/>
                <w:szCs w:val="26"/>
                <w:rtl/>
              </w:rPr>
            </w:pPr>
            <w:r>
              <w:rPr>
                <w:rFonts w:hint="cs"/>
                <w:b/>
                <w:bCs/>
                <w:noProof w:val="0"/>
                <w:sz w:val="28"/>
                <w:rtl/>
              </w:rPr>
              <w:t>פלוני</w:t>
            </w:r>
            <w:r w:rsidR="00E44DDF">
              <w:rPr>
                <w:rFonts w:hint="cs"/>
                <w:rtl/>
              </w:rPr>
              <w:t xml:space="preserve"> </w:t>
            </w:r>
          </w:p>
          <w:p w:rsidR="006816EC" w:rsidRPr="00666BBA" w:rsidRDefault="00E44DDF">
            <w:pPr>
              <w:rPr>
                <w:rFonts w:ascii="Arial (W1)" w:hAnsi="Arial (W1)"/>
                <w:b/>
                <w:bCs/>
                <w:noProof w:val="0"/>
              </w:rPr>
            </w:pPr>
            <w:r w:rsidRPr="00666BBA">
              <w:rPr>
                <w:rFonts w:ascii="Arial" w:hAnsi="Arial"/>
                <w:b/>
                <w:bCs/>
                <w:noProof w:val="0"/>
                <w:rtl/>
              </w:rPr>
              <w:t>ע"י ב"כ עוה"ד</w:t>
            </w:r>
            <w:r w:rsidR="00EE5B4F" w:rsidRPr="00666BBA">
              <w:rPr>
                <w:rFonts w:ascii="Arial (W1)" w:hAnsi="Arial (W1)" w:hint="cs"/>
                <w:b/>
                <w:bCs/>
                <w:noProof w:val="0"/>
                <w:rtl/>
              </w:rPr>
              <w:t xml:space="preserve"> </w:t>
            </w:r>
            <w:r w:rsidR="00EE5B4F" w:rsidRPr="00666BBA">
              <w:rPr>
                <w:rFonts w:ascii="Arial" w:hAnsi="Arial" w:hint="cs"/>
                <w:b/>
                <w:bCs/>
                <w:noProof w:val="0"/>
                <w:rtl/>
              </w:rPr>
              <w:t>אלי חביב</w:t>
            </w:r>
            <w:r w:rsidR="00EE5B4F" w:rsidRPr="00666BBA">
              <w:rPr>
                <w:rFonts w:ascii="Arial (W1)" w:hAnsi="Arial (W1)" w:hint="cs"/>
                <w:b/>
                <w:bCs/>
                <w:noProof w:val="0"/>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Pr="00EE5B4F" w:rsidRDefault="00EE5B4F" w:rsidP="003E3E61">
            <w:pPr>
              <w:tabs>
                <w:tab w:val="left" w:pos="3279"/>
              </w:tabs>
              <w:rPr>
                <w:rFonts w:ascii="Arial (W1)" w:hAnsi="Arial (W1)"/>
                <w:b/>
                <w:bCs/>
                <w:noProof w:val="0"/>
                <w:sz w:val="26"/>
                <w:szCs w:val="26"/>
                <w:rtl/>
              </w:rPr>
            </w:pPr>
            <w:r w:rsidRPr="00666BBA">
              <w:rPr>
                <w:rFonts w:ascii="Arial (W1)" w:hAnsi="Arial (W1)" w:hint="cs"/>
                <w:b/>
                <w:bCs/>
                <w:noProof w:val="0"/>
                <w:rtl/>
              </w:rPr>
              <w:t>בעניין הקטינה</w:t>
            </w:r>
            <w:r w:rsidRPr="00EE5B4F">
              <w:rPr>
                <w:rFonts w:ascii="Arial (W1)" w:hAnsi="Arial (W1)" w:hint="cs"/>
                <w:b/>
                <w:bCs/>
                <w:noProof w:val="0"/>
                <w:sz w:val="26"/>
                <w:szCs w:val="26"/>
                <w:rtl/>
              </w:rPr>
              <w:t xml:space="preserve"> </w:t>
            </w:r>
            <w:r>
              <w:rPr>
                <w:rFonts w:ascii="Arial (W1)" w:hAnsi="Arial (W1)"/>
                <w:b/>
                <w:bCs/>
                <w:noProof w:val="0"/>
                <w:sz w:val="26"/>
                <w:szCs w:val="26"/>
                <w:rtl/>
              </w:rPr>
              <w:tab/>
            </w:r>
            <w:r w:rsidR="003E3E61">
              <w:rPr>
                <w:rFonts w:ascii="Arial (W1)" w:hAnsi="Arial (W1)" w:hint="cs"/>
                <w:b/>
                <w:bCs/>
                <w:noProof w:val="0"/>
                <w:rtl/>
              </w:rPr>
              <w:t>אלמונית</w:t>
            </w:r>
            <w:r w:rsidRPr="00666BBA">
              <w:rPr>
                <w:rFonts w:ascii="Arial (W1)" w:hAnsi="Arial (W1)" w:hint="cs"/>
                <w:b/>
                <w:bCs/>
                <w:noProof w:val="0"/>
                <w:rtl/>
              </w:rPr>
              <w:t xml:space="preserve">, ילידת </w:t>
            </w:r>
            <w:r w:rsidR="003E3E61">
              <w:rPr>
                <w:rFonts w:ascii="Arial (W1)" w:hAnsi="Arial (W1)" w:hint="cs"/>
                <w:b/>
                <w:bCs/>
                <w:noProof w:val="0"/>
                <w:rtl/>
              </w:rPr>
              <w:t>2015</w:t>
            </w:r>
          </w:p>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35DC3" w:rsidRDefault="00135DC3" w:rsidP="000E2215">
      <w:pPr>
        <w:spacing w:after="120" w:line="360" w:lineRule="auto"/>
        <w:jc w:val="both"/>
        <w:rPr>
          <w:rFonts w:ascii="David" w:hAnsi="David"/>
          <w:b/>
          <w:bCs/>
          <w:rtl/>
        </w:rPr>
      </w:pPr>
      <w:r>
        <w:rPr>
          <w:rFonts w:ascii="Arial" w:hAnsi="Arial"/>
          <w:rtl/>
        </w:rPr>
        <w:t>עניינו של פסק הדין שלפניי הכרעה בתביעה למזונות קטינה שהוגשה באמצעות אמה (להלן: "</w:t>
      </w:r>
      <w:r>
        <w:rPr>
          <w:rFonts w:ascii="Arial" w:hAnsi="Arial"/>
          <w:b/>
          <w:bCs/>
          <w:rtl/>
        </w:rPr>
        <w:t>האם</w:t>
      </w:r>
      <w:r>
        <w:rPr>
          <w:rFonts w:ascii="Arial" w:hAnsi="Arial"/>
          <w:rtl/>
        </w:rPr>
        <w:t>"; "</w:t>
      </w:r>
      <w:r>
        <w:rPr>
          <w:rFonts w:ascii="Arial" w:hAnsi="Arial"/>
          <w:b/>
          <w:bCs/>
          <w:rtl/>
        </w:rPr>
        <w:t>התובעת</w:t>
      </w:r>
      <w:r>
        <w:rPr>
          <w:rFonts w:ascii="Arial" w:hAnsi="Arial"/>
          <w:rtl/>
        </w:rPr>
        <w:t>") כנגד אביה – הנתבע (להלן: "</w:t>
      </w:r>
      <w:r>
        <w:rPr>
          <w:rFonts w:ascii="Arial" w:hAnsi="Arial"/>
          <w:b/>
          <w:bCs/>
          <w:rtl/>
        </w:rPr>
        <w:t>האב</w:t>
      </w:r>
      <w:r>
        <w:rPr>
          <w:rFonts w:ascii="Arial" w:hAnsi="Arial"/>
          <w:rtl/>
        </w:rPr>
        <w:t>"; "</w:t>
      </w:r>
      <w:r>
        <w:rPr>
          <w:rFonts w:ascii="Arial" w:hAnsi="Arial"/>
          <w:b/>
          <w:bCs/>
          <w:rtl/>
        </w:rPr>
        <w:t>הנתבע</w:t>
      </w:r>
      <w:r>
        <w:rPr>
          <w:rFonts w:ascii="Arial" w:hAnsi="Arial"/>
          <w:rtl/>
        </w:rPr>
        <w:t>").</w:t>
      </w:r>
    </w:p>
    <w:p w:rsidR="008E6A0E" w:rsidRDefault="008E6A0E" w:rsidP="000E2215">
      <w:pPr>
        <w:spacing w:after="120" w:line="360" w:lineRule="auto"/>
        <w:jc w:val="both"/>
        <w:rPr>
          <w:rFonts w:ascii="David" w:hAnsi="David"/>
          <w:b/>
          <w:bCs/>
          <w:noProof w:val="0"/>
        </w:rPr>
      </w:pPr>
      <w:r>
        <w:rPr>
          <w:rFonts w:ascii="David" w:hAnsi="David"/>
          <w:b/>
          <w:bCs/>
          <w:rtl/>
        </w:rPr>
        <w:t>תביע</w:t>
      </w:r>
      <w:r w:rsidR="00190012">
        <w:rPr>
          <w:rFonts w:ascii="David" w:hAnsi="David"/>
          <w:b/>
          <w:bCs/>
          <w:rtl/>
        </w:rPr>
        <w:t xml:space="preserve">ה זו מתנהלת משנת 2020, כשמרבית </w:t>
      </w:r>
      <w:r>
        <w:rPr>
          <w:rFonts w:ascii="David" w:hAnsi="David"/>
          <w:b/>
          <w:bCs/>
          <w:rtl/>
        </w:rPr>
        <w:t>הזמן המתינו הצדדים להסדרת העניינים הרכושיים בניהם ופירוק שיתוף בדירת הצדדים</w:t>
      </w:r>
      <w:r w:rsidR="00924525">
        <w:rPr>
          <w:rFonts w:ascii="David" w:hAnsi="David" w:hint="cs"/>
          <w:b/>
          <w:bCs/>
          <w:rtl/>
        </w:rPr>
        <w:t>, כל זאת שעה שהנתבע מרצה עונש מאסר בבית הכלא</w:t>
      </w:r>
      <w:r>
        <w:rPr>
          <w:rFonts w:ascii="David" w:hAnsi="David"/>
          <w:b/>
          <w:bCs/>
          <w:rtl/>
        </w:rPr>
        <w:t xml:space="preserve">. ביום 9.5.24 התקיים דיון </w:t>
      </w:r>
      <w:r w:rsidR="00B6035C">
        <w:rPr>
          <w:rFonts w:ascii="David" w:hAnsi="David" w:hint="cs"/>
          <w:b/>
          <w:bCs/>
          <w:rtl/>
        </w:rPr>
        <w:t xml:space="preserve">במהלכו אושר מתווה דיוני שהוסכם בין באי כח הצדדים ולפיו יינתן </w:t>
      </w:r>
      <w:r>
        <w:rPr>
          <w:rFonts w:ascii="David" w:hAnsi="David"/>
          <w:b/>
          <w:bCs/>
          <w:rtl/>
        </w:rPr>
        <w:t xml:space="preserve"> פסק דין</w:t>
      </w:r>
      <w:r w:rsidR="00B6035C">
        <w:rPr>
          <w:rFonts w:ascii="David" w:hAnsi="David" w:hint="cs"/>
          <w:b/>
          <w:bCs/>
          <w:rtl/>
        </w:rPr>
        <w:t xml:space="preserve"> על יסוד החומר המצוי בתיק</w:t>
      </w:r>
      <w:r w:rsidR="000E2215">
        <w:rPr>
          <w:rFonts w:ascii="David" w:hAnsi="David" w:hint="cs"/>
          <w:b/>
          <w:bCs/>
          <w:rtl/>
        </w:rPr>
        <w:t xml:space="preserve">, </w:t>
      </w:r>
      <w:r>
        <w:rPr>
          <w:rFonts w:ascii="David" w:hAnsi="David"/>
          <w:b/>
          <w:bCs/>
          <w:rtl/>
        </w:rPr>
        <w:t xml:space="preserve">לאחר שיגישו טיעוניהם בכתב. </w:t>
      </w:r>
      <w:r w:rsidR="000E2215">
        <w:rPr>
          <w:rFonts w:ascii="David" w:hAnsi="David" w:hint="cs"/>
          <w:b/>
          <w:bCs/>
          <w:rtl/>
        </w:rPr>
        <w:t>ב"כ הצדדים הגישו טיעוניהם בכתב ומכאן פסק דין זה.</w:t>
      </w:r>
      <w:r>
        <w:rPr>
          <w:rFonts w:ascii="David" w:hAnsi="David"/>
          <w:b/>
          <w:bCs/>
          <w:rtl/>
        </w:rPr>
        <w:t xml:space="preserve"> </w:t>
      </w:r>
    </w:p>
    <w:p w:rsidR="008E6A0E" w:rsidRDefault="008E6A0E" w:rsidP="00AE3067">
      <w:pPr>
        <w:pStyle w:val="ad"/>
        <w:numPr>
          <w:ilvl w:val="0"/>
          <w:numId w:val="4"/>
        </w:numPr>
        <w:spacing w:after="120" w:line="360" w:lineRule="auto"/>
        <w:ind w:left="357" w:hanging="357"/>
        <w:contextualSpacing w:val="0"/>
        <w:jc w:val="both"/>
        <w:rPr>
          <w:rFonts w:ascii="David" w:hAnsi="David" w:cs="David"/>
          <w:sz w:val="24"/>
          <w:szCs w:val="24"/>
          <w:rtl/>
        </w:rPr>
      </w:pPr>
      <w:r>
        <w:rPr>
          <w:rFonts w:ascii="David" w:hAnsi="David" w:cs="David"/>
          <w:sz w:val="24"/>
          <w:szCs w:val="24"/>
          <w:rtl/>
        </w:rPr>
        <w:t xml:space="preserve">המחלוקת העיקרית בין הצדדים נסובה סביב חיוב האב, המרצה </w:t>
      </w:r>
      <w:r w:rsidR="00924525">
        <w:rPr>
          <w:rFonts w:ascii="David" w:hAnsi="David" w:cs="David" w:hint="cs"/>
          <w:sz w:val="24"/>
          <w:szCs w:val="24"/>
          <w:rtl/>
        </w:rPr>
        <w:t xml:space="preserve">כאמור עונש </w:t>
      </w:r>
      <w:r>
        <w:rPr>
          <w:rFonts w:ascii="David" w:hAnsi="David" w:cs="David"/>
          <w:sz w:val="24"/>
          <w:szCs w:val="24"/>
          <w:rtl/>
        </w:rPr>
        <w:t>מאסר ב</w:t>
      </w:r>
      <w:r w:rsidR="00924525">
        <w:rPr>
          <w:rFonts w:ascii="David" w:hAnsi="David" w:cs="David" w:hint="cs"/>
          <w:sz w:val="24"/>
          <w:szCs w:val="24"/>
          <w:rtl/>
        </w:rPr>
        <w:t>בית הכלא</w:t>
      </w:r>
      <w:r>
        <w:rPr>
          <w:rFonts w:ascii="David" w:hAnsi="David" w:cs="David"/>
          <w:sz w:val="24"/>
          <w:szCs w:val="24"/>
          <w:rtl/>
        </w:rPr>
        <w:t xml:space="preserve">, במזונות הקטינה - בתם המשותפת של הצדדים. התובעת טוענת כי יש לחייב את האב במזונות הקטינה ועותרת להוספת רכיב מדור למזונות שנקבעו כמזונות זמניים. מנגד, </w:t>
      </w:r>
      <w:r w:rsidR="0045439F">
        <w:rPr>
          <w:rFonts w:ascii="David" w:hAnsi="David" w:cs="David" w:hint="cs"/>
          <w:sz w:val="24"/>
          <w:szCs w:val="24"/>
          <w:rtl/>
        </w:rPr>
        <w:t xml:space="preserve">הנתבע </w:t>
      </w:r>
      <w:r>
        <w:rPr>
          <w:rFonts w:ascii="David" w:hAnsi="David" w:cs="David"/>
          <w:sz w:val="24"/>
          <w:szCs w:val="24"/>
          <w:rtl/>
        </w:rPr>
        <w:t xml:space="preserve">עותר לביטול חיובו במזונות נוכח גובה השתכרות האם והעובדה שהוא עצמו מרצה עונש מאסר ואינו משתכר כלל. </w:t>
      </w:r>
    </w:p>
    <w:p w:rsidR="008E6A0E" w:rsidRDefault="008E6A0E" w:rsidP="008E6A0E">
      <w:pPr>
        <w:pStyle w:val="ad"/>
        <w:numPr>
          <w:ilvl w:val="0"/>
          <w:numId w:val="4"/>
        </w:numPr>
        <w:spacing w:after="120" w:line="360" w:lineRule="auto"/>
        <w:ind w:left="357" w:hanging="357"/>
        <w:contextualSpacing w:val="0"/>
        <w:jc w:val="both"/>
        <w:rPr>
          <w:rFonts w:ascii="David" w:hAnsi="David" w:cs="David"/>
          <w:sz w:val="24"/>
          <w:szCs w:val="24"/>
          <w:rtl/>
        </w:rPr>
      </w:pPr>
      <w:r>
        <w:rPr>
          <w:rFonts w:ascii="David" w:hAnsi="David" w:cs="David"/>
          <w:sz w:val="24"/>
          <w:szCs w:val="24"/>
          <w:rtl/>
        </w:rPr>
        <w:t xml:space="preserve">ביום 24.12.2020 ניתנה ע"י מותב זה החלטה בדבר חיוב האב במזונותיה הזמניים של הקטינה לפיה חויב לשלם את מזונותיה של הקטינה לידי האם בסך של 1,700 ₪ לחודש החל מאוגוסט 2020. בנוסף, חויב הנתבע בתשלום מחצית מהוצאות החינוך, ומחצית מהוצאות רפואיות חורגות. </w:t>
      </w:r>
      <w:r w:rsidR="0045439F">
        <w:rPr>
          <w:rFonts w:ascii="David" w:hAnsi="David" w:cs="David" w:hint="cs"/>
          <w:sz w:val="24"/>
          <w:szCs w:val="24"/>
          <w:rtl/>
        </w:rPr>
        <w:t>(להלן: "</w:t>
      </w:r>
      <w:r w:rsidR="0045439F" w:rsidRPr="0045439F">
        <w:rPr>
          <w:rFonts w:ascii="David" w:hAnsi="David" w:cs="David" w:hint="cs"/>
          <w:b/>
          <w:bCs/>
          <w:sz w:val="24"/>
          <w:szCs w:val="24"/>
          <w:rtl/>
        </w:rPr>
        <w:t>ההחלטה למזונות זמניים</w:t>
      </w:r>
      <w:r w:rsidR="0045439F">
        <w:rPr>
          <w:rFonts w:ascii="David" w:hAnsi="David" w:cs="David" w:hint="cs"/>
          <w:sz w:val="24"/>
          <w:szCs w:val="24"/>
          <w:rtl/>
        </w:rPr>
        <w:t>")</w:t>
      </w:r>
      <w:r w:rsidR="00666BBA">
        <w:rPr>
          <w:rFonts w:ascii="David" w:hAnsi="David" w:cs="David" w:hint="cs"/>
          <w:sz w:val="24"/>
          <w:szCs w:val="24"/>
          <w:rtl/>
        </w:rPr>
        <w:t>.</w:t>
      </w:r>
      <w:r w:rsidR="0045439F">
        <w:rPr>
          <w:rFonts w:ascii="David" w:hAnsi="David" w:cs="David" w:hint="cs"/>
          <w:sz w:val="24"/>
          <w:szCs w:val="24"/>
          <w:rtl/>
        </w:rPr>
        <w:t xml:space="preserve"> </w:t>
      </w:r>
    </w:p>
    <w:p w:rsidR="00C9393F" w:rsidRDefault="008E6A0E" w:rsidP="00E7159D">
      <w:pPr>
        <w:pStyle w:val="ad"/>
        <w:numPr>
          <w:ilvl w:val="0"/>
          <w:numId w:val="4"/>
        </w:numPr>
        <w:spacing w:after="120" w:line="360" w:lineRule="auto"/>
        <w:ind w:left="357" w:hanging="357"/>
        <w:contextualSpacing w:val="0"/>
        <w:jc w:val="both"/>
        <w:rPr>
          <w:rFonts w:ascii="David" w:hAnsi="David" w:cs="David"/>
          <w:sz w:val="24"/>
          <w:szCs w:val="24"/>
        </w:rPr>
      </w:pPr>
      <w:r w:rsidRPr="00C9393F">
        <w:rPr>
          <w:rFonts w:ascii="David" w:hAnsi="David" w:cs="David"/>
          <w:sz w:val="24"/>
          <w:szCs w:val="24"/>
          <w:rtl/>
        </w:rPr>
        <w:t>ביום 13.7.2022 ו-29.12.2022, הורשע הנתבע במספר רב של עבירות מין בקטינה</w:t>
      </w:r>
      <w:r w:rsidR="000E2215" w:rsidRPr="00C9393F">
        <w:rPr>
          <w:rFonts w:ascii="David" w:hAnsi="David" w:cs="David" w:hint="cs"/>
          <w:sz w:val="24"/>
          <w:szCs w:val="24"/>
          <w:rtl/>
        </w:rPr>
        <w:t>, אחותה למחצה של הקטינה נשוא הליך זה, בתה של התובעת מנישואיה הראשונים.</w:t>
      </w:r>
      <w:r w:rsidRPr="00C9393F">
        <w:rPr>
          <w:rFonts w:ascii="David" w:hAnsi="David" w:cs="David"/>
          <w:sz w:val="24"/>
          <w:szCs w:val="24"/>
          <w:rtl/>
        </w:rPr>
        <w:t xml:space="preserve"> </w:t>
      </w:r>
      <w:r w:rsidR="000E2215" w:rsidRPr="00C9393F">
        <w:rPr>
          <w:rFonts w:ascii="David" w:hAnsi="David" w:cs="David" w:hint="cs"/>
          <w:sz w:val="24"/>
          <w:szCs w:val="24"/>
          <w:rtl/>
        </w:rPr>
        <w:t xml:space="preserve">במסגרת ההליך הפלילי שהתנהל כנגד הנתבע, </w:t>
      </w:r>
      <w:r w:rsidRPr="00C9393F">
        <w:rPr>
          <w:rFonts w:ascii="David" w:hAnsi="David" w:cs="David"/>
          <w:sz w:val="24"/>
          <w:szCs w:val="24"/>
          <w:rtl/>
        </w:rPr>
        <w:t>נגזרו עליו 6 שנות מאסר בפועל, מאסר על תנאי למשך 3 שנים לבל יבצע עבירת מין מסוג פשע וכן פיצויים למתלוננת בסך של 75,000 ש"ח</w:t>
      </w:r>
      <w:r w:rsidRPr="00C9393F">
        <w:rPr>
          <w:rFonts w:ascii="David" w:hAnsi="David" w:cs="David"/>
          <w:sz w:val="24"/>
          <w:szCs w:val="24"/>
        </w:rPr>
        <w:t>.</w:t>
      </w:r>
      <w:r w:rsidRPr="00C9393F">
        <w:rPr>
          <w:rFonts w:ascii="David" w:hAnsi="David" w:cs="David"/>
          <w:sz w:val="24"/>
          <w:szCs w:val="24"/>
          <w:rtl/>
        </w:rPr>
        <w:t xml:space="preserve"> </w:t>
      </w:r>
    </w:p>
    <w:p w:rsidR="003F1161" w:rsidRDefault="003F1161" w:rsidP="003F1161">
      <w:pPr>
        <w:pStyle w:val="ad"/>
        <w:spacing w:after="120" w:line="360" w:lineRule="auto"/>
        <w:ind w:left="357"/>
        <w:contextualSpacing w:val="0"/>
        <w:jc w:val="both"/>
        <w:rPr>
          <w:rFonts w:ascii="David" w:hAnsi="David" w:cs="David"/>
          <w:sz w:val="24"/>
          <w:szCs w:val="24"/>
          <w:rtl/>
        </w:rPr>
      </w:pPr>
    </w:p>
    <w:p w:rsidR="00666BBA" w:rsidRPr="00E7159D" w:rsidRDefault="00666BBA" w:rsidP="003F1161">
      <w:pPr>
        <w:pStyle w:val="ad"/>
        <w:spacing w:after="120" w:line="360" w:lineRule="auto"/>
        <w:ind w:left="357"/>
        <w:contextualSpacing w:val="0"/>
        <w:jc w:val="both"/>
        <w:rPr>
          <w:rFonts w:ascii="David" w:hAnsi="David" w:cs="David"/>
          <w:sz w:val="24"/>
          <w:szCs w:val="24"/>
          <w:rtl/>
        </w:rPr>
      </w:pPr>
    </w:p>
    <w:p w:rsidR="008E6A0E" w:rsidRDefault="008E6A0E" w:rsidP="0045439F">
      <w:pPr>
        <w:spacing w:after="120" w:line="360" w:lineRule="auto"/>
        <w:jc w:val="both"/>
        <w:rPr>
          <w:rFonts w:ascii="David" w:hAnsi="David"/>
          <w:b/>
          <w:bCs/>
          <w:u w:val="single"/>
        </w:rPr>
      </w:pPr>
      <w:r>
        <w:rPr>
          <w:rFonts w:ascii="David" w:hAnsi="David"/>
          <w:b/>
          <w:bCs/>
          <w:u w:val="single"/>
          <w:rtl/>
        </w:rPr>
        <w:lastRenderedPageBreak/>
        <w:t xml:space="preserve">טענות </w:t>
      </w:r>
      <w:r w:rsidR="0045439F">
        <w:rPr>
          <w:rFonts w:ascii="David" w:hAnsi="David" w:hint="cs"/>
          <w:b/>
          <w:bCs/>
          <w:u w:val="single"/>
          <w:rtl/>
        </w:rPr>
        <w:t>התובעת בסיכומיה</w:t>
      </w:r>
    </w:p>
    <w:p w:rsidR="008E6A0E" w:rsidRDefault="008E6A0E" w:rsidP="008E6A0E">
      <w:pPr>
        <w:pStyle w:val="ad"/>
        <w:numPr>
          <w:ilvl w:val="0"/>
          <w:numId w:val="4"/>
        </w:numPr>
        <w:spacing w:after="120" w:line="360" w:lineRule="auto"/>
        <w:contextualSpacing w:val="0"/>
        <w:jc w:val="both"/>
        <w:rPr>
          <w:rFonts w:ascii="David" w:hAnsi="David" w:cs="David"/>
          <w:sz w:val="24"/>
          <w:szCs w:val="24"/>
          <w:rtl/>
        </w:rPr>
      </w:pPr>
      <w:r>
        <w:rPr>
          <w:rFonts w:ascii="David" w:hAnsi="David" w:cs="David"/>
          <w:sz w:val="24"/>
          <w:szCs w:val="24"/>
          <w:rtl/>
        </w:rPr>
        <w:t xml:space="preserve">האם טוענת כי שוכרת דירה מחודש אפריל 2022, ועותרת להוספת רכיב מדור קבוע של 33% מגובה דמי השכירות לחיוב המזונות כך שהתשלום ישולם רטרואקטיבית ממועד זה. </w:t>
      </w:r>
    </w:p>
    <w:p w:rsidR="008E6A0E" w:rsidRDefault="008E6A0E" w:rsidP="008E6A0E">
      <w:pPr>
        <w:pStyle w:val="ad"/>
        <w:numPr>
          <w:ilvl w:val="0"/>
          <w:numId w:val="4"/>
        </w:numPr>
        <w:spacing w:after="120" w:line="360" w:lineRule="auto"/>
        <w:contextualSpacing w:val="0"/>
        <w:jc w:val="both"/>
        <w:rPr>
          <w:rFonts w:ascii="David" w:hAnsi="David" w:cs="David"/>
          <w:sz w:val="24"/>
          <w:szCs w:val="24"/>
        </w:rPr>
      </w:pPr>
      <w:r>
        <w:rPr>
          <w:rFonts w:ascii="David" w:hAnsi="David" w:cs="David"/>
          <w:sz w:val="24"/>
          <w:szCs w:val="24"/>
          <w:rtl/>
        </w:rPr>
        <w:t xml:space="preserve">האם עותרת לחיוב </w:t>
      </w:r>
      <w:r w:rsidR="001242F1">
        <w:rPr>
          <w:rFonts w:ascii="David" w:hAnsi="David" w:cs="David" w:hint="cs"/>
          <w:sz w:val="24"/>
          <w:szCs w:val="24"/>
          <w:rtl/>
        </w:rPr>
        <w:t>האב ב</w:t>
      </w:r>
      <w:r>
        <w:rPr>
          <w:rFonts w:ascii="David" w:hAnsi="David" w:cs="David"/>
          <w:sz w:val="24"/>
          <w:szCs w:val="24"/>
          <w:rtl/>
        </w:rPr>
        <w:t xml:space="preserve">דמי מזונות חודשיים בסך של </w:t>
      </w:r>
      <w:r w:rsidR="00856CC5">
        <w:rPr>
          <w:rFonts w:ascii="David" w:hAnsi="David" w:cs="David"/>
          <w:sz w:val="24"/>
          <w:szCs w:val="24"/>
          <w:rtl/>
        </w:rPr>
        <w:t>כ-3,000 ₪, החל מחודש אפריל 2022</w:t>
      </w:r>
      <w:r w:rsidR="00856CC5">
        <w:rPr>
          <w:rFonts w:ascii="David" w:hAnsi="David" w:cs="David" w:hint="cs"/>
          <w:sz w:val="24"/>
          <w:szCs w:val="24"/>
          <w:rtl/>
        </w:rPr>
        <w:t xml:space="preserve">, </w:t>
      </w:r>
      <w:r>
        <w:rPr>
          <w:rFonts w:ascii="David" w:hAnsi="David" w:cs="David"/>
          <w:sz w:val="24"/>
          <w:szCs w:val="24"/>
          <w:rtl/>
        </w:rPr>
        <w:t xml:space="preserve">כשעד למועד זה חיוב המזונות יהיה לפי ההחלטה בדבר המזונות הזמניים. </w:t>
      </w:r>
    </w:p>
    <w:p w:rsidR="008E6A0E" w:rsidRDefault="008E6A0E" w:rsidP="008E6A0E">
      <w:pPr>
        <w:pStyle w:val="ad"/>
        <w:numPr>
          <w:ilvl w:val="0"/>
          <w:numId w:val="4"/>
        </w:numPr>
        <w:spacing w:after="120" w:line="360" w:lineRule="auto"/>
        <w:contextualSpacing w:val="0"/>
        <w:jc w:val="both"/>
        <w:rPr>
          <w:rFonts w:ascii="David" w:hAnsi="David" w:cs="David"/>
          <w:sz w:val="24"/>
          <w:szCs w:val="24"/>
        </w:rPr>
      </w:pPr>
      <w:r>
        <w:rPr>
          <w:rFonts w:ascii="David" w:hAnsi="David" w:cs="David"/>
          <w:sz w:val="24"/>
          <w:szCs w:val="24"/>
          <w:rtl/>
        </w:rPr>
        <w:t xml:space="preserve">לחלופין, עותרת האם כי ככל ויקבע בית המשפט להותיר את דמי חיוב המזונות כגובה דמי המזונות הזמניים, יש להצמידם לערכים כיום כך שגובה דמי המזונות יהיה בסך של 1,900 ₪ ובתוספת דמי מדור. בנוסף, עותרת לחיוב האב לשאת במחצית הוצאות החינוך של הקטינה ומחצית מהוצאותיה הרפואיות. בנוסף, עותרת האם להצמדת דמי המזונות למדד המחירים לצרכן ולקביעת ריבית והצמדה לכל תשלום שלא ישולם במועדו. </w:t>
      </w:r>
    </w:p>
    <w:p w:rsidR="008E6A0E" w:rsidRDefault="0045439F" w:rsidP="00C9393F">
      <w:pPr>
        <w:pStyle w:val="ad"/>
        <w:numPr>
          <w:ilvl w:val="0"/>
          <w:numId w:val="4"/>
        </w:numPr>
        <w:spacing w:after="120" w:line="360" w:lineRule="auto"/>
        <w:contextualSpacing w:val="0"/>
        <w:jc w:val="both"/>
        <w:rPr>
          <w:rFonts w:ascii="David" w:hAnsi="David" w:cs="David"/>
          <w:sz w:val="24"/>
          <w:szCs w:val="24"/>
        </w:rPr>
      </w:pPr>
      <w:r>
        <w:rPr>
          <w:rFonts w:ascii="David" w:hAnsi="David" w:cs="David" w:hint="cs"/>
          <w:sz w:val="24"/>
          <w:szCs w:val="24"/>
          <w:rtl/>
        </w:rPr>
        <w:t>לטענת התובעת</w:t>
      </w:r>
      <w:r w:rsidR="008E6A0E">
        <w:rPr>
          <w:rFonts w:ascii="David" w:hAnsi="David" w:cs="David"/>
          <w:sz w:val="24"/>
          <w:szCs w:val="24"/>
          <w:rtl/>
        </w:rPr>
        <w:t xml:space="preserve"> יש לחייב את הנתבע לשאת במלוא צורכי הקטינה משום שלא מתקיימים הסדרי שהות בין האב לקטינה, ומלוא נטל הטיפול והגידול של הקטינה מוטל על כתפי התובעת. </w:t>
      </w:r>
    </w:p>
    <w:p w:rsidR="008E6A0E" w:rsidRDefault="008E6A0E" w:rsidP="001242F1">
      <w:pPr>
        <w:pStyle w:val="ad"/>
        <w:numPr>
          <w:ilvl w:val="0"/>
          <w:numId w:val="4"/>
        </w:numPr>
        <w:spacing w:after="120" w:line="360" w:lineRule="auto"/>
        <w:contextualSpacing w:val="0"/>
        <w:jc w:val="both"/>
        <w:rPr>
          <w:rFonts w:ascii="David" w:hAnsi="David" w:cs="David"/>
          <w:sz w:val="24"/>
          <w:szCs w:val="24"/>
        </w:rPr>
      </w:pPr>
      <w:r>
        <w:rPr>
          <w:rFonts w:ascii="David" w:hAnsi="David" w:cs="David"/>
          <w:sz w:val="24"/>
          <w:szCs w:val="24"/>
          <w:rtl/>
        </w:rPr>
        <w:t xml:space="preserve">האם טוענת כי יכולת השתכרותו של האב הינה מעל ל-20,000 ₪ בחודש, ומחובתו לזון </w:t>
      </w:r>
      <w:r w:rsidR="001242F1">
        <w:rPr>
          <w:rFonts w:ascii="David" w:hAnsi="David" w:cs="David"/>
          <w:sz w:val="24"/>
          <w:szCs w:val="24"/>
          <w:rtl/>
        </w:rPr>
        <w:t xml:space="preserve">את בתו הקטינה אף אם הינו אסיר. </w:t>
      </w:r>
      <w:r>
        <w:rPr>
          <w:rFonts w:ascii="David" w:hAnsi="David" w:cs="David"/>
          <w:sz w:val="24"/>
          <w:szCs w:val="24"/>
          <w:rtl/>
        </w:rPr>
        <w:t>כן</w:t>
      </w:r>
      <w:r w:rsidR="001242F1">
        <w:rPr>
          <w:rFonts w:ascii="David" w:hAnsi="David" w:cs="David" w:hint="cs"/>
          <w:sz w:val="24"/>
          <w:szCs w:val="24"/>
          <w:rtl/>
        </w:rPr>
        <w:t xml:space="preserve"> טוענת כי</w:t>
      </w:r>
      <w:r>
        <w:rPr>
          <w:rFonts w:ascii="David" w:hAnsi="David" w:cs="David"/>
          <w:sz w:val="24"/>
          <w:szCs w:val="24"/>
          <w:rtl/>
        </w:rPr>
        <w:t xml:space="preserve"> בעוד כשנה וחצי עתיד האב להשתחרר ממאסר ויוכל להשתלב במעגל העבודה בקלות עקב גילו וכושרו הגופני. </w:t>
      </w:r>
    </w:p>
    <w:p w:rsidR="0045439F" w:rsidRPr="0045439F" w:rsidRDefault="0045439F" w:rsidP="0045439F">
      <w:pPr>
        <w:spacing w:after="120" w:line="360" w:lineRule="auto"/>
        <w:ind w:left="360"/>
        <w:jc w:val="both"/>
        <w:rPr>
          <w:rFonts w:ascii="David" w:hAnsi="David"/>
          <w:b/>
          <w:bCs/>
          <w:u w:val="single"/>
        </w:rPr>
      </w:pPr>
      <w:r w:rsidRPr="0045439F">
        <w:rPr>
          <w:rFonts w:ascii="David" w:hAnsi="David" w:hint="cs"/>
          <w:b/>
          <w:bCs/>
          <w:u w:val="single"/>
          <w:rtl/>
        </w:rPr>
        <w:t>טענות הנתבע בסיכומיו</w:t>
      </w:r>
    </w:p>
    <w:p w:rsidR="008E6A0E" w:rsidRDefault="008E6A0E" w:rsidP="001242F1">
      <w:pPr>
        <w:pStyle w:val="ad"/>
        <w:numPr>
          <w:ilvl w:val="0"/>
          <w:numId w:val="4"/>
        </w:numPr>
        <w:spacing w:after="120" w:line="360" w:lineRule="auto"/>
        <w:contextualSpacing w:val="0"/>
        <w:jc w:val="both"/>
        <w:rPr>
          <w:rFonts w:ascii="David" w:hAnsi="David" w:cs="David"/>
          <w:sz w:val="24"/>
          <w:szCs w:val="24"/>
        </w:rPr>
      </w:pPr>
      <w:r>
        <w:rPr>
          <w:rFonts w:ascii="David" w:hAnsi="David" w:cs="David"/>
          <w:sz w:val="24"/>
          <w:szCs w:val="24"/>
          <w:rtl/>
        </w:rPr>
        <w:t>הא</w:t>
      </w:r>
      <w:r w:rsidR="001242F1">
        <w:rPr>
          <w:rFonts w:ascii="David" w:hAnsi="David" w:cs="David"/>
          <w:sz w:val="24"/>
          <w:szCs w:val="24"/>
          <w:rtl/>
        </w:rPr>
        <w:t>ב טוען כי אין לו כל מקור הכנסה</w:t>
      </w:r>
      <w:r w:rsidR="001242F1">
        <w:rPr>
          <w:rFonts w:ascii="David" w:hAnsi="David" w:cs="David" w:hint="cs"/>
          <w:sz w:val="24"/>
          <w:szCs w:val="24"/>
          <w:rtl/>
        </w:rPr>
        <w:t xml:space="preserve"> ו</w:t>
      </w:r>
      <w:r>
        <w:rPr>
          <w:rFonts w:ascii="David" w:hAnsi="David" w:cs="David"/>
          <w:sz w:val="24"/>
          <w:szCs w:val="24"/>
          <w:rtl/>
        </w:rPr>
        <w:t>גם לאחר שחרורו ירבצו חובות הנובעים מקנסות שהוטלו עליו בתיק הפלילי וחובות כלפי צדדים שלישיים. כמו כן, לטענתו, המצב המשפטי כשנפסקו המזונות הזמניים שונה בתכלית מהמצב המשפטי כיום. אז, הקטינה הייתה מתחת לגיל 6 וטרם ניתן גזר דין בעניינו. בנוסף, טוען האב כי כיום הקטינה בת 9 ומקור החיוב למזונותיה הוא מדין צדקה.</w:t>
      </w:r>
    </w:p>
    <w:p w:rsidR="008E6A0E" w:rsidRDefault="008E6A0E" w:rsidP="008E6A0E">
      <w:pPr>
        <w:pStyle w:val="ad"/>
        <w:numPr>
          <w:ilvl w:val="0"/>
          <w:numId w:val="4"/>
        </w:numPr>
        <w:spacing w:after="120" w:line="360" w:lineRule="auto"/>
        <w:contextualSpacing w:val="0"/>
        <w:jc w:val="both"/>
        <w:rPr>
          <w:rFonts w:ascii="David" w:hAnsi="David" w:cs="David"/>
          <w:sz w:val="24"/>
          <w:szCs w:val="24"/>
        </w:rPr>
      </w:pPr>
      <w:r>
        <w:rPr>
          <w:rFonts w:ascii="David" w:hAnsi="David" w:cs="David"/>
          <w:sz w:val="24"/>
          <w:szCs w:val="24"/>
          <w:rtl/>
        </w:rPr>
        <w:t xml:space="preserve">האב טוען כי אין מקום לחייב דמי מזונות במקרה בו ברור כי הם יצטברו כחוב שיהווה תוכנית חיסכון לאם לאחר שחרורו ממאסר, ובפרט מקום בו לאם הכנסה בגובה של 10,000 ₪ לחודש. </w:t>
      </w:r>
    </w:p>
    <w:p w:rsidR="0058247C" w:rsidRPr="003860E0" w:rsidRDefault="008E6A0E" w:rsidP="003860E0">
      <w:pPr>
        <w:pStyle w:val="ad"/>
        <w:numPr>
          <w:ilvl w:val="0"/>
          <w:numId w:val="4"/>
        </w:numPr>
        <w:spacing w:after="120" w:line="360" w:lineRule="auto"/>
        <w:contextualSpacing w:val="0"/>
        <w:jc w:val="both"/>
        <w:rPr>
          <w:rFonts w:ascii="David" w:hAnsi="David" w:cs="David"/>
          <w:sz w:val="24"/>
          <w:szCs w:val="24"/>
          <w:rtl/>
        </w:rPr>
      </w:pPr>
      <w:r>
        <w:rPr>
          <w:rFonts w:ascii="David" w:hAnsi="David" w:cs="David"/>
          <w:sz w:val="24"/>
          <w:szCs w:val="24"/>
          <w:rtl/>
        </w:rPr>
        <w:t xml:space="preserve">האב טוען כי החלק היחסי של מדור הקטינה הוא 17% בהתחשב בשני ילדיה הנוספים של האם, מנישואיה הקודמים, המתגוררים יחד עם הקטינה והאם בבית.  </w:t>
      </w:r>
    </w:p>
    <w:p w:rsidR="008E6A0E" w:rsidRDefault="008E6A0E" w:rsidP="008E6A0E">
      <w:pPr>
        <w:spacing w:after="120" w:line="360" w:lineRule="auto"/>
        <w:jc w:val="both"/>
        <w:rPr>
          <w:rFonts w:ascii="David" w:hAnsi="David"/>
          <w:b/>
          <w:bCs/>
          <w:u w:val="single"/>
          <w:rtl/>
        </w:rPr>
      </w:pPr>
      <w:r>
        <w:rPr>
          <w:rFonts w:ascii="David" w:hAnsi="David"/>
          <w:b/>
          <w:bCs/>
          <w:u w:val="single"/>
          <w:rtl/>
        </w:rPr>
        <w:t xml:space="preserve">דיון והכרעה: </w:t>
      </w:r>
    </w:p>
    <w:p w:rsidR="00135DC3" w:rsidRPr="003860E0" w:rsidRDefault="00AE0B84" w:rsidP="003860E0">
      <w:pPr>
        <w:pStyle w:val="ad"/>
        <w:numPr>
          <w:ilvl w:val="0"/>
          <w:numId w:val="4"/>
        </w:numPr>
        <w:spacing w:after="120" w:line="360" w:lineRule="auto"/>
        <w:contextualSpacing w:val="0"/>
        <w:jc w:val="both"/>
        <w:rPr>
          <w:rFonts w:ascii="David" w:hAnsi="David" w:cs="David"/>
          <w:sz w:val="24"/>
          <w:szCs w:val="24"/>
        </w:rPr>
      </w:pPr>
      <w:hyperlink r:id="rId8" w:history="1">
        <w:r w:rsidR="00135DC3" w:rsidRPr="003860E0">
          <w:rPr>
            <w:rFonts w:ascii="David" w:hAnsi="David" w:cs="David"/>
            <w:sz w:val="24"/>
            <w:szCs w:val="24"/>
            <w:rtl/>
          </w:rPr>
          <w:t>סעיף 3(א)</w:t>
        </w:r>
      </w:hyperlink>
      <w:r w:rsidR="00135DC3" w:rsidRPr="003860E0">
        <w:rPr>
          <w:rFonts w:ascii="David" w:hAnsi="David" w:cs="David"/>
          <w:sz w:val="24"/>
          <w:szCs w:val="24"/>
          <w:rtl/>
        </w:rPr>
        <w:t xml:space="preserve"> ל</w:t>
      </w:r>
      <w:hyperlink r:id="rId9" w:history="1">
        <w:r w:rsidR="00135DC3" w:rsidRPr="003860E0">
          <w:rPr>
            <w:rFonts w:ascii="David" w:hAnsi="David" w:cs="David"/>
            <w:sz w:val="24"/>
            <w:szCs w:val="24"/>
            <w:rtl/>
          </w:rPr>
          <w:t>חוק לתיקון דיני המשפחה (מזונות)</w:t>
        </w:r>
      </w:hyperlink>
      <w:r w:rsidR="003860E0">
        <w:rPr>
          <w:rFonts w:ascii="David" w:hAnsi="David" w:cs="David" w:hint="cs"/>
          <w:sz w:val="24"/>
          <w:szCs w:val="24"/>
          <w:rtl/>
        </w:rPr>
        <w:t xml:space="preserve">, </w:t>
      </w:r>
      <w:r w:rsidR="00135DC3" w:rsidRPr="003860E0">
        <w:rPr>
          <w:rFonts w:ascii="David" w:hAnsi="David" w:cs="David"/>
          <w:sz w:val="24"/>
          <w:szCs w:val="24"/>
          <w:rtl/>
        </w:rPr>
        <w:t>התשי"ט-1959 קובע כדלקמן: "אדם חייב במזונות הילדים הקטינים שלו והילדים הקטינים של בן-זוגו לפי הוראות הדין האישי החל עליו, והוראות חוק זה לא יחולו על מזונות אלה".</w:t>
      </w:r>
    </w:p>
    <w:p w:rsidR="003860E0" w:rsidRPr="003860E0" w:rsidRDefault="00B57699" w:rsidP="003860E0">
      <w:pPr>
        <w:pStyle w:val="ad"/>
        <w:numPr>
          <w:ilvl w:val="0"/>
          <w:numId w:val="4"/>
        </w:numPr>
        <w:spacing w:after="120" w:line="360" w:lineRule="auto"/>
        <w:contextualSpacing w:val="0"/>
        <w:jc w:val="both"/>
        <w:rPr>
          <w:rFonts w:ascii="David" w:hAnsi="David" w:cs="David"/>
          <w:sz w:val="24"/>
          <w:szCs w:val="24"/>
        </w:rPr>
      </w:pPr>
      <w:r w:rsidRPr="003860E0">
        <w:rPr>
          <w:rFonts w:ascii="David" w:hAnsi="David" w:cs="David" w:hint="cs"/>
          <w:sz w:val="24"/>
          <w:szCs w:val="24"/>
          <w:rtl/>
        </w:rPr>
        <w:lastRenderedPageBreak/>
        <w:t xml:space="preserve">הוראות </w:t>
      </w:r>
      <w:hyperlink r:id="rId10" w:history="1">
        <w:r w:rsidRPr="003860E0">
          <w:rPr>
            <w:rFonts w:ascii="David" w:hAnsi="David" w:cs="David" w:hint="cs"/>
            <w:sz w:val="24"/>
            <w:szCs w:val="24"/>
            <w:rtl/>
          </w:rPr>
          <w:t>סעיף 6</w:t>
        </w:r>
      </w:hyperlink>
      <w:r w:rsidRPr="003860E0">
        <w:rPr>
          <w:rFonts w:ascii="David" w:hAnsi="David" w:cs="David" w:hint="cs"/>
          <w:sz w:val="24"/>
          <w:szCs w:val="24"/>
          <w:rtl/>
        </w:rPr>
        <w:t xml:space="preserve"> לחוק המזונות, </w:t>
      </w:r>
      <w:r w:rsidR="001F6D6B" w:rsidRPr="003860E0">
        <w:rPr>
          <w:rFonts w:ascii="David" w:hAnsi="David" w:cs="David" w:hint="cs"/>
          <w:sz w:val="24"/>
          <w:szCs w:val="24"/>
          <w:rtl/>
        </w:rPr>
        <w:t xml:space="preserve">מלמדות אותנו כי </w:t>
      </w:r>
      <w:r w:rsidRPr="003860E0">
        <w:rPr>
          <w:rFonts w:ascii="David" w:hAnsi="David" w:cs="David" w:hint="cs"/>
          <w:sz w:val="24"/>
          <w:szCs w:val="24"/>
          <w:rtl/>
        </w:rPr>
        <w:t>היקף הצרכים ודרכי סיפוקם, ייקבעו לפי מ</w:t>
      </w:r>
      <w:r w:rsidR="001F6D6B" w:rsidRPr="003860E0">
        <w:rPr>
          <w:rFonts w:ascii="David" w:hAnsi="David" w:cs="David" w:hint="cs"/>
          <w:sz w:val="24"/>
          <w:szCs w:val="24"/>
          <w:rtl/>
        </w:rPr>
        <w:t>חסורו של הזכאי ויכולתו של החייב והלכה פסוקה היא כי יש</w:t>
      </w:r>
      <w:r w:rsidRPr="003860E0">
        <w:rPr>
          <w:rFonts w:ascii="David" w:hAnsi="David" w:cs="David" w:hint="cs"/>
          <w:sz w:val="24"/>
          <w:szCs w:val="24"/>
          <w:rtl/>
        </w:rPr>
        <w:t xml:space="preserve"> לבחון כל מקרה על פי נסיבותיו המיוחדות. </w:t>
      </w:r>
    </w:p>
    <w:p w:rsidR="00C25D47" w:rsidRPr="003860E0" w:rsidRDefault="001F6D6B" w:rsidP="003860E0">
      <w:pPr>
        <w:pStyle w:val="ad"/>
        <w:numPr>
          <w:ilvl w:val="0"/>
          <w:numId w:val="4"/>
        </w:numPr>
        <w:spacing w:after="120" w:line="360" w:lineRule="auto"/>
        <w:contextualSpacing w:val="0"/>
        <w:jc w:val="both"/>
        <w:rPr>
          <w:rFonts w:ascii="David" w:hAnsi="David" w:cs="David"/>
          <w:sz w:val="24"/>
          <w:szCs w:val="24"/>
          <w:rtl/>
        </w:rPr>
      </w:pPr>
      <w:r w:rsidRPr="003860E0">
        <w:rPr>
          <w:rFonts w:ascii="David" w:hAnsi="David" w:cs="David" w:hint="cs"/>
          <w:sz w:val="24"/>
          <w:szCs w:val="24"/>
          <w:rtl/>
        </w:rPr>
        <w:t>בדומה לענייננו בו מתעורר הצורך להכריע בין צרכי הקטינה ליכולות החייב המרצה עונש מאס</w:t>
      </w:r>
      <w:r w:rsidR="00CA1FA0" w:rsidRPr="003860E0">
        <w:rPr>
          <w:rFonts w:ascii="David" w:hAnsi="David" w:cs="David" w:hint="cs"/>
          <w:sz w:val="24"/>
          <w:szCs w:val="24"/>
          <w:rtl/>
        </w:rPr>
        <w:t>ר,</w:t>
      </w:r>
      <w:r w:rsidR="00B57699" w:rsidRPr="003860E0">
        <w:rPr>
          <w:rFonts w:ascii="David" w:hAnsi="David" w:cs="David" w:hint="cs"/>
          <w:sz w:val="24"/>
          <w:szCs w:val="24"/>
          <w:rtl/>
        </w:rPr>
        <w:t xml:space="preserve"> ראה </w:t>
      </w:r>
      <w:hyperlink r:id="rId11" w:history="1">
        <w:r w:rsidR="00B57699" w:rsidRPr="003860E0">
          <w:rPr>
            <w:rFonts w:ascii="David" w:hAnsi="David" w:cs="David" w:hint="cs"/>
            <w:sz w:val="24"/>
            <w:szCs w:val="24"/>
            <w:rtl/>
          </w:rPr>
          <w:t xml:space="preserve">ע"א 302/80 </w:t>
        </w:r>
        <w:r w:rsidR="00B57699" w:rsidRPr="003860E0">
          <w:rPr>
            <w:rFonts w:ascii="David" w:hAnsi="David" w:cs="David" w:hint="cs"/>
            <w:b/>
            <w:bCs/>
            <w:sz w:val="24"/>
            <w:szCs w:val="24"/>
            <w:rtl/>
          </w:rPr>
          <w:t>אגלזיאס נ' אגלזיאס</w:t>
        </w:r>
        <w:r w:rsidR="00B57699" w:rsidRPr="003860E0">
          <w:rPr>
            <w:rFonts w:ascii="David" w:hAnsi="David" w:cs="David" w:hint="cs"/>
            <w:sz w:val="24"/>
            <w:szCs w:val="24"/>
            <w:rtl/>
          </w:rPr>
          <w:t xml:space="preserve"> פ"ד ל"ד</w:t>
        </w:r>
      </w:hyperlink>
      <w:r w:rsidR="00B57699" w:rsidRPr="003860E0">
        <w:rPr>
          <w:rFonts w:ascii="David" w:hAnsi="David" w:cs="David" w:hint="cs"/>
          <w:sz w:val="24"/>
          <w:szCs w:val="24"/>
          <w:rtl/>
        </w:rPr>
        <w:t xml:space="preserve"> (4) 529, 53. </w:t>
      </w:r>
      <w:r w:rsidR="00CA1FA0" w:rsidRPr="003860E0">
        <w:rPr>
          <w:rFonts w:ascii="David" w:hAnsi="David" w:cs="David"/>
          <w:sz w:val="24"/>
          <w:szCs w:val="24"/>
          <w:rtl/>
        </w:rPr>
        <w:t>הפסיקה הטילה חיוב גם על אבות נע</w:t>
      </w:r>
      <w:r w:rsidR="00C25D47" w:rsidRPr="003860E0">
        <w:rPr>
          <w:rFonts w:ascii="David" w:hAnsi="David" w:cs="David"/>
          <w:sz w:val="24"/>
          <w:szCs w:val="24"/>
          <w:rtl/>
        </w:rPr>
        <w:t>דרי כושר השתכרות לזון את ילדיהם</w:t>
      </w:r>
      <w:r w:rsidR="00C25D47" w:rsidRPr="003860E0">
        <w:rPr>
          <w:rFonts w:ascii="David" w:hAnsi="David" w:cs="David" w:hint="cs"/>
          <w:sz w:val="24"/>
          <w:szCs w:val="24"/>
          <w:rtl/>
        </w:rPr>
        <w:t xml:space="preserve">. ראו לענין זה </w:t>
      </w:r>
      <w:hyperlink r:id="rId12" w:history="1">
        <w:r w:rsidR="00CA1FA0" w:rsidRPr="003860E0">
          <w:rPr>
            <w:rFonts w:ascii="David" w:hAnsi="David" w:cs="David"/>
            <w:sz w:val="24"/>
            <w:szCs w:val="24"/>
            <w:rtl/>
          </w:rPr>
          <w:t>תמ"ש 3710/06</w:t>
        </w:r>
      </w:hyperlink>
      <w:r w:rsidR="00CA1FA0" w:rsidRPr="003860E0">
        <w:rPr>
          <w:rFonts w:ascii="David" w:hAnsi="David" w:cs="David"/>
          <w:sz w:val="24"/>
          <w:szCs w:val="24"/>
          <w:rtl/>
        </w:rPr>
        <w:t xml:space="preserve"> </w:t>
      </w:r>
      <w:r w:rsidR="00CA1FA0" w:rsidRPr="003860E0">
        <w:rPr>
          <w:rFonts w:ascii="David" w:hAnsi="David" w:cs="David"/>
          <w:b/>
          <w:bCs/>
          <w:sz w:val="24"/>
          <w:szCs w:val="24"/>
          <w:rtl/>
        </w:rPr>
        <w:t>ש.ח. נ' ר.נ.</w:t>
      </w:r>
      <w:r w:rsidR="003860E0">
        <w:rPr>
          <w:rFonts w:ascii="David" w:hAnsi="David" w:cs="David"/>
          <w:sz w:val="24"/>
          <w:szCs w:val="24"/>
          <w:rtl/>
        </w:rPr>
        <w:t xml:space="preserve"> (פורסם בנבו, 10.4.</w:t>
      </w:r>
      <w:r w:rsidR="00047288">
        <w:rPr>
          <w:rFonts w:ascii="David" w:hAnsi="David" w:cs="David" w:hint="cs"/>
          <w:sz w:val="24"/>
          <w:szCs w:val="24"/>
          <w:rtl/>
        </w:rPr>
        <w:t>20</w:t>
      </w:r>
      <w:r w:rsidR="003860E0">
        <w:rPr>
          <w:rFonts w:ascii="David" w:hAnsi="David" w:cs="David" w:hint="cs"/>
          <w:sz w:val="24"/>
          <w:szCs w:val="24"/>
          <w:rtl/>
        </w:rPr>
        <w:t>07</w:t>
      </w:r>
      <w:r w:rsidR="00C25D47" w:rsidRPr="003860E0">
        <w:rPr>
          <w:rFonts w:ascii="David" w:hAnsi="David" w:cs="David"/>
          <w:sz w:val="24"/>
          <w:szCs w:val="24"/>
          <w:rtl/>
        </w:rPr>
        <w:t>)</w:t>
      </w:r>
      <w:r w:rsidR="00C25D47" w:rsidRPr="003860E0">
        <w:rPr>
          <w:rFonts w:ascii="David" w:hAnsi="David" w:cs="David" w:hint="cs"/>
          <w:sz w:val="24"/>
          <w:szCs w:val="24"/>
          <w:rtl/>
        </w:rPr>
        <w:t>.</w:t>
      </w:r>
    </w:p>
    <w:p w:rsidR="00BA0255" w:rsidRPr="003860E0" w:rsidRDefault="00C25D47" w:rsidP="0058247C">
      <w:pPr>
        <w:spacing w:after="120" w:line="360" w:lineRule="auto"/>
        <w:ind w:left="680"/>
        <w:jc w:val="both"/>
        <w:rPr>
          <w:rFonts w:ascii="Arial" w:hAnsi="Arial"/>
          <w:noProof w:val="0"/>
          <w:sz w:val="26"/>
          <w:szCs w:val="26"/>
        </w:rPr>
      </w:pPr>
      <w:r w:rsidRPr="003860E0">
        <w:rPr>
          <w:rFonts w:ascii="David" w:hAnsi="David" w:hint="cs"/>
          <w:b/>
          <w:bCs/>
          <w:noProof w:val="0"/>
          <w:sz w:val="26"/>
          <w:szCs w:val="26"/>
          <w:u w:val="single"/>
          <w:rtl/>
        </w:rPr>
        <w:t xml:space="preserve">יודגש כי לא יכולה להיות מחלוקת כי </w:t>
      </w:r>
      <w:r w:rsidR="00BA0255" w:rsidRPr="003860E0">
        <w:rPr>
          <w:rFonts w:ascii="David" w:hAnsi="David"/>
          <w:b/>
          <w:bCs/>
          <w:noProof w:val="0"/>
          <w:sz w:val="26"/>
          <w:szCs w:val="26"/>
          <w:u w:val="single"/>
          <w:rtl/>
        </w:rPr>
        <w:t xml:space="preserve">חובתו של אב יהודי לזון את ילדיו היא חבות מוחלטת והיא איננה נפסקת אף בהיותו אסיר. </w:t>
      </w:r>
    </w:p>
    <w:p w:rsidR="00135DC3" w:rsidRPr="00D432B0" w:rsidRDefault="0058247C" w:rsidP="00800759">
      <w:pPr>
        <w:pStyle w:val="ad"/>
        <w:numPr>
          <w:ilvl w:val="0"/>
          <w:numId w:val="4"/>
        </w:numPr>
        <w:spacing w:after="120" w:line="360" w:lineRule="auto"/>
        <w:contextualSpacing w:val="0"/>
        <w:jc w:val="both"/>
        <w:rPr>
          <w:rFonts w:ascii="David" w:hAnsi="David" w:cs="David"/>
          <w:sz w:val="24"/>
          <w:szCs w:val="24"/>
        </w:rPr>
      </w:pPr>
      <w:r w:rsidRPr="00D432B0">
        <w:rPr>
          <w:rFonts w:ascii="David" w:hAnsi="David" w:cs="David" w:hint="cs"/>
          <w:sz w:val="24"/>
          <w:szCs w:val="24"/>
          <w:rtl/>
        </w:rPr>
        <w:t xml:space="preserve">בכל הנוגע להיקף חיוב המזונות, </w:t>
      </w:r>
      <w:r w:rsidR="00135DC3" w:rsidRPr="00D432B0">
        <w:rPr>
          <w:rFonts w:ascii="David" w:hAnsi="David" w:cs="David"/>
          <w:sz w:val="24"/>
          <w:szCs w:val="24"/>
          <w:rtl/>
        </w:rPr>
        <w:t xml:space="preserve">הלכה פסוקה היא, כי על פי הדין העברי אב חייב במזונות ילדיו עד גיל 6 מן הדין ולאחר גיל 6 ועד גיל 15 – מתקנת חכמים. חיוב האב על פי הדין ועל פי התקנות הוא לצרכים ההכרחיים של הילדים. בשורה ארוכה של פסקי דין נקבע כי במסגרת צרכיהם ההכרחיים של הילדים נכללות הוצאות מזון, ביגוד ומדור (מקום מגורים והוצאות אחזקתו), חינוך בסיסי (לא כולל חוגים וכיוצ"ב) ובריאות (ראה </w:t>
      </w:r>
      <w:hyperlink r:id="rId13" w:history="1">
        <w:r w:rsidR="00800759">
          <w:rPr>
            <w:rFonts w:ascii="David" w:hAnsi="David" w:cs="David"/>
            <w:sz w:val="24"/>
            <w:szCs w:val="24"/>
            <w:rtl/>
          </w:rPr>
          <w:t xml:space="preserve">ע"א 328/72 </w:t>
        </w:r>
        <w:r w:rsidR="00800759" w:rsidRPr="00800759">
          <w:rPr>
            <w:rFonts w:ascii="David" w:hAnsi="David" w:cs="David"/>
            <w:b/>
            <w:bCs/>
            <w:sz w:val="24"/>
            <w:szCs w:val="24"/>
            <w:rtl/>
          </w:rPr>
          <w:t>לנגל נ</w:t>
        </w:r>
        <w:r w:rsidR="00800759" w:rsidRPr="00800759">
          <w:rPr>
            <w:rFonts w:ascii="David" w:hAnsi="David" w:cs="David" w:hint="cs"/>
            <w:b/>
            <w:bCs/>
            <w:sz w:val="24"/>
            <w:szCs w:val="24"/>
            <w:rtl/>
          </w:rPr>
          <w:t>'</w:t>
        </w:r>
        <w:r w:rsidR="00135DC3" w:rsidRPr="00800759">
          <w:rPr>
            <w:rFonts w:ascii="David" w:hAnsi="David" w:cs="David"/>
            <w:b/>
            <w:bCs/>
            <w:sz w:val="24"/>
            <w:szCs w:val="24"/>
            <w:rtl/>
          </w:rPr>
          <w:t xml:space="preserve"> לנגל</w:t>
        </w:r>
        <w:r w:rsidR="00800759">
          <w:rPr>
            <w:rFonts w:ascii="David" w:hAnsi="David" w:cs="David" w:hint="cs"/>
            <w:sz w:val="24"/>
            <w:szCs w:val="24"/>
            <w:rtl/>
          </w:rPr>
          <w:t xml:space="preserve"> </w:t>
        </w:r>
        <w:r w:rsidR="00135DC3" w:rsidRPr="00D432B0">
          <w:rPr>
            <w:rFonts w:ascii="David" w:hAnsi="David" w:cs="David"/>
            <w:sz w:val="24"/>
            <w:szCs w:val="24"/>
            <w:rtl/>
          </w:rPr>
          <w:t>פ"ד כז</w:t>
        </w:r>
      </w:hyperlink>
      <w:r w:rsidR="00135DC3" w:rsidRPr="00D432B0">
        <w:rPr>
          <w:rFonts w:ascii="David" w:hAnsi="David" w:cs="David"/>
          <w:sz w:val="24"/>
          <w:szCs w:val="24"/>
          <w:rtl/>
        </w:rPr>
        <w:t xml:space="preserve"> (2) 470, 474; ו</w:t>
      </w:r>
      <w:hyperlink r:id="rId14" w:history="1">
        <w:r w:rsidR="00800759">
          <w:rPr>
            <w:rFonts w:ascii="David" w:hAnsi="David" w:cs="David"/>
            <w:sz w:val="24"/>
            <w:szCs w:val="24"/>
            <w:rtl/>
          </w:rPr>
          <w:t xml:space="preserve">ע"א 2312/90 </w:t>
        </w:r>
        <w:r w:rsidR="00800759" w:rsidRPr="00800759">
          <w:rPr>
            <w:rFonts w:ascii="David" w:hAnsi="David" w:cs="David"/>
            <w:b/>
            <w:bCs/>
            <w:sz w:val="24"/>
            <w:szCs w:val="24"/>
            <w:rtl/>
          </w:rPr>
          <w:t>קחואר נ</w:t>
        </w:r>
        <w:r w:rsidR="00800759" w:rsidRPr="00800759">
          <w:rPr>
            <w:rFonts w:ascii="David" w:hAnsi="David" w:cs="David" w:hint="cs"/>
            <w:b/>
            <w:bCs/>
            <w:sz w:val="24"/>
            <w:szCs w:val="24"/>
            <w:rtl/>
          </w:rPr>
          <w:t xml:space="preserve">' </w:t>
        </w:r>
        <w:r w:rsidR="00135DC3" w:rsidRPr="00800759">
          <w:rPr>
            <w:rFonts w:ascii="David" w:hAnsi="David" w:cs="David"/>
            <w:b/>
            <w:bCs/>
            <w:sz w:val="24"/>
            <w:szCs w:val="24"/>
            <w:rtl/>
          </w:rPr>
          <w:t>קחואר</w:t>
        </w:r>
        <w:r w:rsidR="00135DC3" w:rsidRPr="00D432B0">
          <w:rPr>
            <w:rFonts w:ascii="David" w:hAnsi="David" w:cs="David"/>
            <w:sz w:val="24"/>
            <w:szCs w:val="24"/>
            <w:rtl/>
          </w:rPr>
          <w:t>, פ"ד מה</w:t>
        </w:r>
      </w:hyperlink>
      <w:r w:rsidR="00135DC3" w:rsidRPr="00D432B0">
        <w:rPr>
          <w:rFonts w:ascii="David" w:hAnsi="David" w:cs="David"/>
          <w:sz w:val="24"/>
          <w:szCs w:val="24"/>
          <w:rtl/>
        </w:rPr>
        <w:t xml:space="preserve"> (3) 33, 34-35.</w:t>
      </w:r>
    </w:p>
    <w:p w:rsidR="00CA1FA0" w:rsidRPr="00E33F56" w:rsidRDefault="00CA1FA0" w:rsidP="00E33F56">
      <w:pPr>
        <w:pStyle w:val="ad"/>
        <w:numPr>
          <w:ilvl w:val="0"/>
          <w:numId w:val="4"/>
        </w:numPr>
        <w:spacing w:after="120" w:line="360" w:lineRule="auto"/>
        <w:contextualSpacing w:val="0"/>
        <w:jc w:val="both"/>
        <w:rPr>
          <w:rFonts w:ascii="David" w:hAnsi="David" w:cs="David"/>
          <w:sz w:val="24"/>
          <w:szCs w:val="24"/>
          <w:rtl/>
        </w:rPr>
      </w:pPr>
      <w:r w:rsidRPr="00E33F56">
        <w:rPr>
          <w:rFonts w:ascii="David" w:hAnsi="David" w:cs="David" w:hint="cs"/>
          <w:sz w:val="24"/>
          <w:szCs w:val="24"/>
          <w:rtl/>
        </w:rPr>
        <w:t xml:space="preserve">ביחס לשאלת גובה הצרכים ההכרחיים נקבע בעמ"ש 32172-11-17 </w:t>
      </w:r>
      <w:r w:rsidR="00047288" w:rsidRPr="00E33F56">
        <w:rPr>
          <w:rFonts w:ascii="David" w:hAnsi="David" w:cs="David" w:hint="cs"/>
          <w:sz w:val="24"/>
          <w:szCs w:val="24"/>
          <w:rtl/>
        </w:rPr>
        <w:t xml:space="preserve">ע.ש (קטינה) נ' נ.ש (פורסם בנבו, 10.1.2019), </w:t>
      </w:r>
      <w:r w:rsidRPr="00E33F56">
        <w:rPr>
          <w:rFonts w:ascii="David" w:hAnsi="David" w:cs="David" w:hint="cs"/>
          <w:sz w:val="24"/>
          <w:szCs w:val="24"/>
          <w:rtl/>
        </w:rPr>
        <w:t>בפסק דינה של כב' השופטת יהודית שבח</w:t>
      </w:r>
      <w:r w:rsidR="00795AC1" w:rsidRPr="00E33F56">
        <w:rPr>
          <w:rFonts w:ascii="David" w:hAnsi="David" w:cs="David" w:hint="cs"/>
          <w:sz w:val="24"/>
          <w:szCs w:val="24"/>
          <w:rtl/>
        </w:rPr>
        <w:t xml:space="preserve">, </w:t>
      </w:r>
      <w:r w:rsidRPr="00E33F56">
        <w:rPr>
          <w:rFonts w:ascii="David" w:hAnsi="David" w:cs="David" w:hint="cs"/>
          <w:sz w:val="24"/>
          <w:szCs w:val="24"/>
          <w:rtl/>
        </w:rPr>
        <w:t xml:space="preserve">כי גובה הסכום ההכרחי הנחוץ לסיפוק צרכי קטינים ושאינו טעון הוכחה עומד ע"ס של 1,600 </w:t>
      </w:r>
      <w:r w:rsidRPr="00E33F56">
        <w:rPr>
          <w:rFonts w:ascii="David" w:hAnsi="David" w:cs="David"/>
          <w:sz w:val="24"/>
          <w:szCs w:val="24"/>
          <w:rtl/>
        </w:rPr>
        <w:t>–</w:t>
      </w:r>
      <w:r w:rsidRPr="00E33F56">
        <w:rPr>
          <w:rFonts w:ascii="David" w:hAnsi="David" w:cs="David" w:hint="cs"/>
          <w:sz w:val="24"/>
          <w:szCs w:val="24"/>
          <w:rtl/>
        </w:rPr>
        <w:t xml:space="preserve"> 1,700 ₪ לחודש וכאמור שם:</w:t>
      </w:r>
    </w:p>
    <w:p w:rsidR="00CA1FA0" w:rsidRPr="00CA1FA0" w:rsidRDefault="00CA1FA0" w:rsidP="00CA1FA0">
      <w:pPr>
        <w:spacing w:after="120" w:line="360" w:lineRule="auto"/>
        <w:ind w:left="1440" w:hanging="760"/>
        <w:jc w:val="both"/>
        <w:rPr>
          <w:rFonts w:ascii="David" w:hAnsi="David"/>
          <w:b/>
          <w:bCs/>
          <w:u w:val="single"/>
          <w:rtl/>
        </w:rPr>
      </w:pPr>
      <w:r w:rsidRPr="00CA1FA0">
        <w:rPr>
          <w:rFonts w:hint="cs"/>
          <w:b/>
          <w:bCs/>
          <w:rtl/>
        </w:rPr>
        <w:t>"</w:t>
      </w:r>
      <w:r w:rsidRPr="00CA1FA0">
        <w:rPr>
          <w:b/>
          <w:bCs/>
          <w:rtl/>
        </w:rPr>
        <w:tab/>
        <w:t xml:space="preserve">לגישתי, אין לדחות עוד את הגדלת הסכום, ועד שייקבע הסכום המשקף את עלות צרכיו של הקטין, בשני הבתים גם יחד, </w:t>
      </w:r>
      <w:r w:rsidRPr="00CA1FA0">
        <w:rPr>
          <w:rFonts w:hint="cs"/>
          <w:b/>
          <w:bCs/>
          <w:rtl/>
        </w:rPr>
        <w:t xml:space="preserve">זה שאינו </w:t>
      </w:r>
      <w:r w:rsidRPr="00CA1FA0">
        <w:rPr>
          <w:b/>
          <w:bCs/>
          <w:rtl/>
        </w:rPr>
        <w:t xml:space="preserve">טעון </w:t>
      </w:r>
      <w:r w:rsidRPr="00CA1FA0">
        <w:rPr>
          <w:rFonts w:hint="cs"/>
          <w:b/>
          <w:bCs/>
          <w:rtl/>
        </w:rPr>
        <w:t>הוכח</w:t>
      </w:r>
      <w:r w:rsidRPr="00CA1FA0">
        <w:rPr>
          <w:b/>
          <w:bCs/>
          <w:rtl/>
        </w:rPr>
        <w:t xml:space="preserve">ה, באופן אמפירי ובהתבסס על חוות דעת כלכליות, אין מנוס מהפעלת שיקול הדעת השיפוטי וניסיון החיים, ומהעלאת הסכום, שלא עודכן מזה שנים, לכדי סך של 1600-1700 </w:t>
      </w:r>
      <w:r w:rsidRPr="00CA1FA0">
        <w:rPr>
          <w:rFonts w:hint="cs"/>
          <w:b/>
          <w:bCs/>
          <w:rtl/>
        </w:rPr>
        <w:t>₪..."</w:t>
      </w:r>
    </w:p>
    <w:p w:rsidR="00135DC3" w:rsidRPr="00F16730" w:rsidRDefault="00135DC3" w:rsidP="000C7DB4">
      <w:pPr>
        <w:pStyle w:val="ad"/>
        <w:numPr>
          <w:ilvl w:val="0"/>
          <w:numId w:val="4"/>
        </w:numPr>
        <w:spacing w:after="120" w:line="360" w:lineRule="auto"/>
        <w:contextualSpacing w:val="0"/>
        <w:jc w:val="both"/>
        <w:rPr>
          <w:rFonts w:ascii="David" w:hAnsi="David" w:cs="David"/>
          <w:sz w:val="24"/>
          <w:szCs w:val="24"/>
          <w:rtl/>
        </w:rPr>
      </w:pPr>
      <w:r w:rsidRPr="00F16730">
        <w:rPr>
          <w:rFonts w:ascii="David" w:hAnsi="David" w:cs="David"/>
          <w:sz w:val="24"/>
          <w:szCs w:val="24"/>
          <w:rtl/>
        </w:rPr>
        <w:t>מעבר לחובה מינימאלית זו,</w:t>
      </w:r>
      <w:r w:rsidR="00610525">
        <w:rPr>
          <w:rFonts w:ascii="David" w:hAnsi="David" w:cs="David" w:hint="cs"/>
          <w:sz w:val="24"/>
          <w:szCs w:val="24"/>
          <w:rtl/>
        </w:rPr>
        <w:t xml:space="preserve"> בענין הסכום הנדרש לצרכי</w:t>
      </w:r>
      <w:r w:rsidR="00795AC1">
        <w:rPr>
          <w:rFonts w:ascii="David" w:hAnsi="David" w:cs="David" w:hint="cs"/>
          <w:sz w:val="24"/>
          <w:szCs w:val="24"/>
          <w:rtl/>
        </w:rPr>
        <w:t>ו</w:t>
      </w:r>
      <w:r w:rsidR="00610525">
        <w:rPr>
          <w:rFonts w:ascii="David" w:hAnsi="David" w:cs="David" w:hint="cs"/>
          <w:sz w:val="24"/>
          <w:szCs w:val="24"/>
          <w:rtl/>
        </w:rPr>
        <w:t xml:space="preserve"> ההכרחיים של כל קטין,</w:t>
      </w:r>
      <w:r w:rsidRPr="00F16730">
        <w:rPr>
          <w:rFonts w:ascii="David" w:hAnsi="David" w:cs="David"/>
          <w:sz w:val="24"/>
          <w:szCs w:val="24"/>
          <w:rtl/>
        </w:rPr>
        <w:t xml:space="preserve"> חייב האב לספק לילדיו אמצעים לשם קיום רמת החיים, אשר הם הורגלו אליה, או שהם ראויים לה. חובה זו נובעת מדיני הצדקה. לעניין החיוב מדין צדקה שווים האב והאם, וחיובם תלוי ביכולתם, כאשר על בית המשפט לשקול בין יתר שיקוליו גם את השתכרותה של האם וגם את השתכרותו של האב</w:t>
      </w:r>
      <w:r w:rsidR="00610525">
        <w:rPr>
          <w:rFonts w:ascii="David" w:hAnsi="David" w:cs="David" w:hint="cs"/>
          <w:sz w:val="24"/>
          <w:szCs w:val="24"/>
          <w:rtl/>
        </w:rPr>
        <w:t>.</w:t>
      </w:r>
    </w:p>
    <w:p w:rsidR="00F16730" w:rsidRDefault="00D47AD7" w:rsidP="000C7DB4">
      <w:pPr>
        <w:pStyle w:val="ad"/>
        <w:numPr>
          <w:ilvl w:val="0"/>
          <w:numId w:val="4"/>
        </w:numPr>
        <w:spacing w:after="120" w:line="360" w:lineRule="auto"/>
        <w:contextualSpacing w:val="0"/>
        <w:jc w:val="both"/>
        <w:rPr>
          <w:rFonts w:ascii="David" w:hAnsi="David" w:cs="David"/>
          <w:sz w:val="24"/>
          <w:szCs w:val="24"/>
        </w:rPr>
      </w:pPr>
      <w:r w:rsidRPr="00F16730">
        <w:rPr>
          <w:rFonts w:ascii="David" w:hAnsi="David" w:cs="David" w:hint="cs"/>
          <w:sz w:val="24"/>
          <w:szCs w:val="24"/>
          <w:rtl/>
        </w:rPr>
        <w:t>ב</w:t>
      </w:r>
      <w:r w:rsidRPr="00F16730">
        <w:rPr>
          <w:rFonts w:ascii="David" w:hAnsi="David" w:cs="David"/>
          <w:sz w:val="24"/>
          <w:szCs w:val="24"/>
          <w:rtl/>
        </w:rPr>
        <w:t>בע"</w:t>
      </w:r>
      <w:r w:rsidRPr="00F16730">
        <w:rPr>
          <w:rFonts w:ascii="David" w:hAnsi="David" w:cs="David" w:hint="cs"/>
          <w:sz w:val="24"/>
          <w:szCs w:val="24"/>
          <w:rtl/>
        </w:rPr>
        <w:t>מ</w:t>
      </w:r>
      <w:r w:rsidR="008E6A0E" w:rsidRPr="00F16730">
        <w:rPr>
          <w:rFonts w:ascii="David" w:hAnsi="David" w:cs="David"/>
          <w:sz w:val="24"/>
          <w:szCs w:val="24"/>
          <w:rtl/>
        </w:rPr>
        <w:t xml:space="preserve"> 919/15</w:t>
      </w:r>
      <w:r w:rsidR="008E6A0E" w:rsidRPr="00F16730">
        <w:rPr>
          <w:rFonts w:ascii="David" w:hAnsi="David"/>
          <w:rtl/>
        </w:rPr>
        <w:t xml:space="preserve"> </w:t>
      </w:r>
      <w:r w:rsidR="008E6A0E" w:rsidRPr="00F16730">
        <w:rPr>
          <w:rFonts w:ascii="David" w:hAnsi="David" w:cs="David"/>
          <w:b/>
          <w:bCs/>
          <w:sz w:val="24"/>
          <w:szCs w:val="24"/>
          <w:rtl/>
        </w:rPr>
        <w:t>פלוני נ' פלונית</w:t>
      </w:r>
      <w:r w:rsidR="008E6A0E" w:rsidRPr="00F16730">
        <w:rPr>
          <w:rFonts w:ascii="David" w:hAnsi="David"/>
          <w:rtl/>
        </w:rPr>
        <w:t xml:space="preserve"> </w:t>
      </w:r>
      <w:r w:rsidR="008E6A0E" w:rsidRPr="00F16730">
        <w:rPr>
          <w:rFonts w:ascii="David" w:hAnsi="David" w:cs="David"/>
          <w:sz w:val="24"/>
          <w:szCs w:val="24"/>
          <w:rtl/>
        </w:rPr>
        <w:t>(</w:t>
      </w:r>
      <w:r w:rsidR="00795AC1">
        <w:rPr>
          <w:rFonts w:ascii="David" w:hAnsi="David" w:cs="David" w:hint="cs"/>
          <w:sz w:val="24"/>
          <w:szCs w:val="24"/>
          <w:rtl/>
        </w:rPr>
        <w:t>פורסם ב</w:t>
      </w:r>
      <w:r w:rsidR="008E6A0E" w:rsidRPr="00F16730">
        <w:rPr>
          <w:rFonts w:ascii="David" w:hAnsi="David" w:cs="David"/>
          <w:sz w:val="24"/>
          <w:szCs w:val="24"/>
          <w:rtl/>
        </w:rPr>
        <w:t>נבו</w:t>
      </w:r>
      <w:r w:rsidR="00795AC1">
        <w:rPr>
          <w:rFonts w:ascii="David" w:hAnsi="David" w:cs="David" w:hint="cs"/>
          <w:sz w:val="24"/>
          <w:szCs w:val="24"/>
          <w:rtl/>
        </w:rPr>
        <w:t>,</w:t>
      </w:r>
      <w:r w:rsidR="008E6A0E" w:rsidRPr="00F16730">
        <w:rPr>
          <w:rFonts w:ascii="David" w:hAnsi="David" w:cs="David"/>
          <w:sz w:val="24"/>
          <w:szCs w:val="24"/>
          <w:rtl/>
        </w:rPr>
        <w:t xml:space="preserve"> 19.7.2017) נקבע</w:t>
      </w:r>
      <w:r w:rsidRPr="00F16730">
        <w:rPr>
          <w:rFonts w:ascii="David" w:hAnsi="David" w:cs="David" w:hint="cs"/>
          <w:sz w:val="24"/>
          <w:szCs w:val="24"/>
          <w:rtl/>
        </w:rPr>
        <w:t xml:space="preserve"> </w:t>
      </w:r>
      <w:r w:rsidR="008E6A0E" w:rsidRPr="00F16730">
        <w:rPr>
          <w:rFonts w:ascii="David" w:hAnsi="David" w:cs="David"/>
          <w:sz w:val="24"/>
          <w:szCs w:val="24"/>
          <w:rtl/>
        </w:rPr>
        <w:t>כי בהיעדר טעם ענייני להבחין בין האב לאם, במקרה של הסדרי שהות משותפים יש לראות בשני ההורים כמי שחייבים במזונות הילד תוך שהפרמטר המנחה יהיה שיעור ההכנסה היחסי בין הצדדים מכל מקור שהוא. עם זאת</w:t>
      </w:r>
      <w:r w:rsidR="008E6A0E" w:rsidRPr="00F16730">
        <w:rPr>
          <w:rFonts w:ascii="David" w:hAnsi="David"/>
          <w:rtl/>
        </w:rPr>
        <w:t xml:space="preserve">, </w:t>
      </w:r>
      <w:r w:rsidR="008E6A0E" w:rsidRPr="00F16730">
        <w:rPr>
          <w:rFonts w:ascii="David" w:hAnsi="David" w:cs="David"/>
          <w:b/>
          <w:bCs/>
          <w:sz w:val="24"/>
          <w:szCs w:val="24"/>
          <w:rtl/>
        </w:rPr>
        <w:t>במקרה בו אחד ההורים משמש כהורה עיקרי</w:t>
      </w:r>
      <w:r w:rsidR="008E6A0E" w:rsidRPr="00F16730">
        <w:rPr>
          <w:rFonts w:ascii="David" w:hAnsi="David" w:cs="David"/>
          <w:sz w:val="24"/>
          <w:szCs w:val="24"/>
          <w:rtl/>
        </w:rPr>
        <w:t>,</w:t>
      </w:r>
      <w:r w:rsidR="008E6A0E" w:rsidRPr="00F16730">
        <w:rPr>
          <w:rFonts w:ascii="David" w:hAnsi="David"/>
          <w:sz w:val="24"/>
          <w:szCs w:val="24"/>
          <w:rtl/>
        </w:rPr>
        <w:t xml:space="preserve"> </w:t>
      </w:r>
      <w:r w:rsidR="008E6A0E" w:rsidRPr="00F16730">
        <w:rPr>
          <w:rFonts w:ascii="David" w:hAnsi="David" w:cs="David"/>
          <w:sz w:val="24"/>
          <w:szCs w:val="24"/>
          <w:rtl/>
        </w:rPr>
        <w:t>ישקול בית המשפט מכלול של שיקולים פרטניים</w:t>
      </w:r>
      <w:r w:rsidR="008E6A0E" w:rsidRPr="00F16730">
        <w:rPr>
          <w:rFonts w:ascii="David" w:hAnsi="David"/>
          <w:rtl/>
        </w:rPr>
        <w:t xml:space="preserve"> </w:t>
      </w:r>
      <w:r w:rsidR="00BB4D20" w:rsidRPr="00F16730">
        <w:rPr>
          <w:rFonts w:ascii="David" w:hAnsi="David" w:cs="David" w:hint="cs"/>
          <w:sz w:val="24"/>
          <w:szCs w:val="24"/>
          <w:rtl/>
        </w:rPr>
        <w:t xml:space="preserve">אחרים </w:t>
      </w:r>
      <w:r w:rsidR="008E6A0E" w:rsidRPr="00F16730">
        <w:rPr>
          <w:rFonts w:ascii="David" w:hAnsi="David" w:cs="David"/>
          <w:sz w:val="24"/>
          <w:szCs w:val="24"/>
          <w:rtl/>
        </w:rPr>
        <w:t xml:space="preserve">כמו גיל הקטין, מינו, הצפי שיסופקו מלוא צרכיו הרגשיים, </w:t>
      </w:r>
      <w:r w:rsidR="008E6A0E" w:rsidRPr="00F16730">
        <w:rPr>
          <w:rFonts w:ascii="David" w:hAnsi="David" w:cs="David"/>
          <w:sz w:val="24"/>
          <w:szCs w:val="24"/>
          <w:rtl/>
        </w:rPr>
        <w:lastRenderedPageBreak/>
        <w:t>הפיזיים, החינוכיים והחברתיים; יכולות וכישורי ההורים; צמצום הפגיעה בי</w:t>
      </w:r>
      <w:r w:rsidR="00795AC1">
        <w:rPr>
          <w:rFonts w:ascii="David" w:hAnsi="David" w:cs="David"/>
          <w:sz w:val="24"/>
          <w:szCs w:val="24"/>
          <w:rtl/>
        </w:rPr>
        <w:t>לד, זמני השהייה עם כל הורה ועוד</w:t>
      </w:r>
      <w:r w:rsidR="008E6A0E" w:rsidRPr="00F16730">
        <w:rPr>
          <w:rFonts w:ascii="David" w:hAnsi="David" w:cs="David"/>
          <w:sz w:val="24"/>
          <w:szCs w:val="24"/>
          <w:rtl/>
        </w:rPr>
        <w:t xml:space="preserve"> (</w:t>
      </w:r>
      <w:r w:rsidR="00BB4D20" w:rsidRPr="00F16730">
        <w:rPr>
          <w:rFonts w:ascii="David" w:hAnsi="David" w:cs="David" w:hint="cs"/>
          <w:sz w:val="24"/>
          <w:szCs w:val="24"/>
          <w:rtl/>
        </w:rPr>
        <w:t xml:space="preserve"> ר'</w:t>
      </w:r>
      <w:r w:rsidR="00705C01">
        <w:rPr>
          <w:rFonts w:ascii="David" w:hAnsi="David" w:cs="David" w:hint="cs"/>
          <w:sz w:val="24"/>
          <w:szCs w:val="24"/>
          <w:rtl/>
        </w:rPr>
        <w:t xml:space="preserve"> </w:t>
      </w:r>
      <w:r w:rsidR="008E6A0E" w:rsidRPr="00F16730">
        <w:rPr>
          <w:rFonts w:ascii="David" w:hAnsi="David" w:cs="David"/>
          <w:sz w:val="24"/>
          <w:szCs w:val="24"/>
          <w:rtl/>
        </w:rPr>
        <w:t xml:space="preserve">ס' 68 לפסק דינו של כב' השופט ע' פוגלמן). </w:t>
      </w:r>
      <w:r w:rsidR="00610525" w:rsidRPr="00610525">
        <w:rPr>
          <w:rFonts w:ascii="David" w:hAnsi="David" w:cs="David" w:hint="cs"/>
          <w:b/>
          <w:bCs/>
          <w:sz w:val="24"/>
          <w:szCs w:val="24"/>
          <w:rtl/>
        </w:rPr>
        <w:t>בענייננו לא יכולה להיות מחלוקת כי האם היא ההורה העיקרי והלכה למעשה היחידה, המטפלת בקטינה ודואגת לכל צרכיה</w:t>
      </w:r>
      <w:r w:rsidR="00610525">
        <w:rPr>
          <w:rFonts w:ascii="David" w:hAnsi="David" w:cs="David" w:hint="cs"/>
          <w:sz w:val="24"/>
          <w:szCs w:val="24"/>
          <w:rtl/>
        </w:rPr>
        <w:t>.</w:t>
      </w:r>
    </w:p>
    <w:p w:rsidR="00363022" w:rsidRDefault="00610525" w:rsidP="000C7DB4">
      <w:pPr>
        <w:pStyle w:val="ad"/>
        <w:numPr>
          <w:ilvl w:val="0"/>
          <w:numId w:val="4"/>
        </w:numPr>
        <w:spacing w:after="120" w:line="360" w:lineRule="auto"/>
        <w:contextualSpacing w:val="0"/>
        <w:jc w:val="both"/>
        <w:rPr>
          <w:rFonts w:ascii="David" w:hAnsi="David" w:cs="David"/>
          <w:sz w:val="24"/>
          <w:szCs w:val="24"/>
        </w:rPr>
      </w:pPr>
      <w:r>
        <w:rPr>
          <w:rFonts w:ascii="David" w:hAnsi="David" w:cs="David" w:hint="cs"/>
          <w:sz w:val="24"/>
          <w:szCs w:val="24"/>
          <w:rtl/>
        </w:rPr>
        <w:t xml:space="preserve">שוב יוזכר כי </w:t>
      </w:r>
      <w:r w:rsidR="00363022" w:rsidRPr="00363022">
        <w:rPr>
          <w:rFonts w:ascii="David" w:hAnsi="David" w:cs="David" w:hint="cs"/>
          <w:sz w:val="24"/>
          <w:szCs w:val="24"/>
          <w:rtl/>
        </w:rPr>
        <w:t>האב מרצה עונש מאסר</w:t>
      </w:r>
      <w:r w:rsidR="00155053">
        <w:rPr>
          <w:rFonts w:ascii="David" w:hAnsi="David" w:cs="David" w:hint="cs"/>
          <w:sz w:val="24"/>
          <w:szCs w:val="24"/>
          <w:rtl/>
        </w:rPr>
        <w:t xml:space="preserve"> ארוך</w:t>
      </w:r>
      <w:r w:rsidR="00363022" w:rsidRPr="00363022">
        <w:rPr>
          <w:rFonts w:ascii="David" w:hAnsi="David" w:cs="David" w:hint="cs"/>
          <w:sz w:val="24"/>
          <w:szCs w:val="24"/>
          <w:rtl/>
        </w:rPr>
        <w:t xml:space="preserve">, בשל פגיעות מיניות </w:t>
      </w:r>
      <w:r>
        <w:rPr>
          <w:rFonts w:ascii="David" w:hAnsi="David" w:cs="David" w:hint="cs"/>
          <w:sz w:val="24"/>
          <w:szCs w:val="24"/>
          <w:rtl/>
        </w:rPr>
        <w:t xml:space="preserve">רבות </w:t>
      </w:r>
      <w:r w:rsidR="00363022" w:rsidRPr="00363022">
        <w:rPr>
          <w:rFonts w:ascii="David" w:hAnsi="David" w:cs="David" w:hint="cs"/>
          <w:sz w:val="24"/>
          <w:szCs w:val="24"/>
          <w:rtl/>
        </w:rPr>
        <w:t>שביצע באחותה למחצה של הקטינה נשוא ההליך. האב</w:t>
      </w:r>
      <w:r w:rsidR="000C7DB4">
        <w:rPr>
          <w:rFonts w:ascii="David" w:hAnsi="David" w:cs="David" w:hint="cs"/>
          <w:sz w:val="24"/>
          <w:szCs w:val="24"/>
          <w:rtl/>
        </w:rPr>
        <w:t>,</w:t>
      </w:r>
      <w:r w:rsidR="00363022" w:rsidRPr="00363022">
        <w:rPr>
          <w:rFonts w:ascii="David" w:hAnsi="David" w:cs="David" w:hint="cs"/>
          <w:sz w:val="24"/>
          <w:szCs w:val="24"/>
          <w:rtl/>
        </w:rPr>
        <w:t xml:space="preserve"> </w:t>
      </w:r>
      <w:r>
        <w:rPr>
          <w:rFonts w:ascii="David" w:hAnsi="David" w:cs="David" w:hint="cs"/>
          <w:sz w:val="24"/>
          <w:szCs w:val="24"/>
          <w:rtl/>
        </w:rPr>
        <w:t xml:space="preserve">לא זו בלבד שאיננו מכיר בהיקף הטיפול שהוטל על אם הקטינה בשל מעשיו, אלא </w:t>
      </w:r>
      <w:r w:rsidR="00363022" w:rsidRPr="00363022">
        <w:rPr>
          <w:rFonts w:ascii="David" w:hAnsi="David" w:cs="David" w:hint="cs"/>
          <w:sz w:val="24"/>
          <w:szCs w:val="24"/>
          <w:rtl/>
        </w:rPr>
        <w:t xml:space="preserve">מבקש להפנות זרקור להבדלי השתכרות בינו ובין אם הקטינה, </w:t>
      </w:r>
      <w:r w:rsidR="00155053">
        <w:rPr>
          <w:rFonts w:ascii="David" w:hAnsi="David" w:cs="David" w:hint="cs"/>
          <w:sz w:val="24"/>
          <w:szCs w:val="24"/>
          <w:rtl/>
        </w:rPr>
        <w:t xml:space="preserve">בשל תקופת מאסרו, </w:t>
      </w:r>
      <w:r w:rsidR="00363022" w:rsidRPr="00363022">
        <w:rPr>
          <w:rFonts w:ascii="David" w:hAnsi="David" w:cs="David" w:hint="cs"/>
          <w:sz w:val="24"/>
          <w:szCs w:val="24"/>
          <w:rtl/>
        </w:rPr>
        <w:t>מבקש שביהמ"ש יביא בחשבון כי הוא נעדר הכנסה מזה מספר שנים וכי יקשה עליו להשתקם לאחר שחרורו עם סיום ריצוי תקופת המאסר.</w:t>
      </w:r>
    </w:p>
    <w:p w:rsidR="00E23132" w:rsidRDefault="00D47AD7" w:rsidP="000C7DB4">
      <w:pPr>
        <w:pStyle w:val="ad"/>
        <w:numPr>
          <w:ilvl w:val="0"/>
          <w:numId w:val="4"/>
        </w:numPr>
        <w:spacing w:after="120" w:line="360" w:lineRule="auto"/>
        <w:contextualSpacing w:val="0"/>
        <w:jc w:val="both"/>
        <w:rPr>
          <w:rFonts w:ascii="David" w:hAnsi="David" w:cs="David"/>
          <w:sz w:val="24"/>
          <w:szCs w:val="24"/>
        </w:rPr>
      </w:pPr>
      <w:r w:rsidRPr="00F16730">
        <w:rPr>
          <w:rFonts w:ascii="David" w:hAnsi="David" w:cs="David" w:hint="cs"/>
          <w:sz w:val="24"/>
          <w:szCs w:val="24"/>
          <w:rtl/>
        </w:rPr>
        <w:t xml:space="preserve">בכל הכבוד לטענת האב כי היותו אסיר בכל הנוגע לבחינת סוגית חיובו במזונות הקטינה, </w:t>
      </w:r>
      <w:r w:rsidR="00155053" w:rsidRPr="00F16730">
        <w:rPr>
          <w:rFonts w:ascii="David" w:hAnsi="David" w:cs="David" w:hint="cs"/>
          <w:sz w:val="24"/>
          <w:szCs w:val="24"/>
          <w:rtl/>
        </w:rPr>
        <w:t xml:space="preserve">הינה חזות הכל, </w:t>
      </w:r>
      <w:r w:rsidR="008520B7" w:rsidRPr="00F16730">
        <w:rPr>
          <w:rFonts w:ascii="David" w:hAnsi="David" w:cs="David" w:hint="cs"/>
          <w:sz w:val="24"/>
          <w:szCs w:val="24"/>
          <w:rtl/>
        </w:rPr>
        <w:t>הרי שבשורה</w:t>
      </w:r>
      <w:r w:rsidR="008E6A0E" w:rsidRPr="00F16730">
        <w:rPr>
          <w:rFonts w:ascii="David" w:hAnsi="David" w:cs="David"/>
          <w:sz w:val="24"/>
          <w:szCs w:val="24"/>
          <w:rtl/>
        </w:rPr>
        <w:t xml:space="preserve"> של פסקי דין נקבע כי </w:t>
      </w:r>
      <w:r w:rsidR="008E6A0E" w:rsidRPr="00155053">
        <w:rPr>
          <w:rFonts w:ascii="David" w:hAnsi="David" w:cs="David"/>
          <w:b/>
          <w:bCs/>
          <w:sz w:val="24"/>
          <w:szCs w:val="24"/>
          <w:u w:val="single"/>
          <w:rtl/>
        </w:rPr>
        <w:t>חובתו של האב לזון את ילדיו הקטינים אינה נפסקת אף בהיותו אסיר</w:t>
      </w:r>
      <w:r w:rsidR="008E6A0E" w:rsidRPr="00F16730">
        <w:rPr>
          <w:rFonts w:ascii="David" w:hAnsi="David" w:cs="David"/>
          <w:sz w:val="24"/>
          <w:szCs w:val="24"/>
          <w:rtl/>
        </w:rPr>
        <w:t xml:space="preserve">. </w:t>
      </w:r>
      <w:r w:rsidR="008520B7" w:rsidRPr="00F16730">
        <w:rPr>
          <w:rFonts w:ascii="David" w:hAnsi="David" w:cs="David" w:hint="cs"/>
          <w:sz w:val="24"/>
          <w:szCs w:val="24"/>
          <w:rtl/>
        </w:rPr>
        <w:t>יתר על כן, אף לו לא היה האב אסיר ונניח ש"רק" היו הכנסותיו נמוכות, הלכה פסוקה היא כי י</w:t>
      </w:r>
      <w:r w:rsidR="008E6A0E" w:rsidRPr="00F16730">
        <w:rPr>
          <w:rFonts w:ascii="David" w:hAnsi="David" w:cs="David"/>
          <w:sz w:val="24"/>
          <w:szCs w:val="24"/>
          <w:rtl/>
        </w:rPr>
        <w:t>ש לקבוע את המזונות על פי צרכי הקטינים עצמם. זאת כדי להבטיח את זכויותיהם ולהבטיח את קיומם, וכדי לאפשר להם להיעזר בחוק המזונות (הבטחת תשלום), התשל"ב-1972, כך שיוכלו לגבות את המ</w:t>
      </w:r>
      <w:r w:rsidR="000C7DB4">
        <w:rPr>
          <w:rFonts w:ascii="David" w:hAnsi="David" w:cs="David"/>
          <w:sz w:val="24"/>
          <w:szCs w:val="24"/>
          <w:rtl/>
        </w:rPr>
        <w:t>זונות המגיעים להם מהביטוח הלאומ</w:t>
      </w:r>
      <w:r w:rsidR="000C7DB4">
        <w:rPr>
          <w:rFonts w:ascii="David" w:hAnsi="David" w:cs="David" w:hint="cs"/>
          <w:sz w:val="24"/>
          <w:szCs w:val="24"/>
          <w:rtl/>
        </w:rPr>
        <w:t>י</w:t>
      </w:r>
      <w:r w:rsidR="008E6A0E" w:rsidRPr="00F16730">
        <w:rPr>
          <w:rFonts w:ascii="David" w:hAnsi="David" w:cs="David"/>
          <w:sz w:val="24"/>
          <w:szCs w:val="24"/>
          <w:rtl/>
        </w:rPr>
        <w:t xml:space="preserve"> (ראו: ע"א 160/89 </w:t>
      </w:r>
      <w:r w:rsidR="008E6A0E" w:rsidRPr="00F16730">
        <w:rPr>
          <w:rFonts w:ascii="David" w:hAnsi="David" w:cs="David"/>
          <w:b/>
          <w:bCs/>
          <w:sz w:val="24"/>
          <w:szCs w:val="24"/>
          <w:rtl/>
        </w:rPr>
        <w:t>גלית אלבז, קטינה ו-2 אח' נ' ציון אלבז</w:t>
      </w:r>
      <w:r w:rsidR="000C7DB4">
        <w:rPr>
          <w:rFonts w:ascii="David" w:hAnsi="David" w:cs="David" w:hint="cs"/>
          <w:sz w:val="24"/>
          <w:szCs w:val="24"/>
          <w:rtl/>
        </w:rPr>
        <w:t xml:space="preserve"> (פורסם בנבו, 31.12.1989)</w:t>
      </w:r>
      <w:r w:rsidR="008E6A0E" w:rsidRPr="00F16730">
        <w:rPr>
          <w:rFonts w:ascii="David" w:hAnsi="David" w:cs="David"/>
          <w:sz w:val="24"/>
          <w:szCs w:val="24"/>
          <w:rtl/>
        </w:rPr>
        <w:t xml:space="preserve">; תמ"ש 71460/99 </w:t>
      </w:r>
      <w:r w:rsidR="008E6A0E" w:rsidRPr="00F16730">
        <w:rPr>
          <w:rFonts w:ascii="David" w:hAnsi="David" w:cs="David"/>
          <w:b/>
          <w:bCs/>
          <w:sz w:val="24"/>
          <w:szCs w:val="24"/>
          <w:rtl/>
        </w:rPr>
        <w:t>פלוני (קטין) ואח' נ' אלמוני</w:t>
      </w:r>
      <w:r w:rsidR="008E6A0E" w:rsidRPr="00F16730">
        <w:rPr>
          <w:rFonts w:ascii="David" w:hAnsi="David" w:cs="David"/>
          <w:sz w:val="24"/>
          <w:szCs w:val="24"/>
          <w:rtl/>
        </w:rPr>
        <w:t xml:space="preserve"> </w:t>
      </w:r>
      <w:r w:rsidR="000C7DB4">
        <w:rPr>
          <w:rFonts w:ascii="David" w:hAnsi="David" w:cs="David" w:hint="cs"/>
          <w:sz w:val="24"/>
          <w:szCs w:val="24"/>
          <w:rtl/>
        </w:rPr>
        <w:t xml:space="preserve">(פורסם בנבו, 23.07.2000). </w:t>
      </w:r>
      <w:r w:rsidR="008E6A0E" w:rsidRPr="00F16730">
        <w:rPr>
          <w:rFonts w:ascii="David" w:hAnsi="David" w:cs="David"/>
          <w:sz w:val="24"/>
          <w:szCs w:val="24"/>
          <w:rtl/>
        </w:rPr>
        <w:t xml:space="preserve"> </w:t>
      </w:r>
    </w:p>
    <w:p w:rsidR="008520B7" w:rsidRPr="000C7DB4" w:rsidRDefault="008520B7" w:rsidP="001D1CD6">
      <w:pPr>
        <w:pStyle w:val="ad"/>
        <w:numPr>
          <w:ilvl w:val="0"/>
          <w:numId w:val="4"/>
        </w:numPr>
        <w:spacing w:after="120" w:line="360" w:lineRule="auto"/>
        <w:contextualSpacing w:val="0"/>
        <w:jc w:val="both"/>
        <w:rPr>
          <w:rFonts w:ascii="David" w:hAnsi="David" w:cs="David"/>
          <w:sz w:val="24"/>
          <w:szCs w:val="24"/>
        </w:rPr>
      </w:pPr>
      <w:r w:rsidRPr="001D1CD6">
        <w:rPr>
          <w:rFonts w:ascii="David" w:hAnsi="David" w:cs="David"/>
          <w:sz w:val="24"/>
          <w:szCs w:val="24"/>
          <w:rtl/>
        </w:rPr>
        <w:t xml:space="preserve">הנתבע מפנה לפסיקת </w:t>
      </w:r>
      <w:r w:rsidR="001D1CD6">
        <w:rPr>
          <w:rFonts w:ascii="David" w:hAnsi="David" w:cs="David"/>
          <w:sz w:val="24"/>
          <w:szCs w:val="24"/>
          <w:rtl/>
        </w:rPr>
        <w:t>בית הדין הרבני הגדול</w:t>
      </w:r>
      <w:r w:rsidR="00A821B3" w:rsidRPr="001D1CD6">
        <w:rPr>
          <w:rFonts w:ascii="David" w:hAnsi="David" w:cs="David" w:hint="cs"/>
          <w:sz w:val="24"/>
          <w:szCs w:val="24"/>
          <w:rtl/>
        </w:rPr>
        <w:t xml:space="preserve"> (</w:t>
      </w:r>
      <w:r w:rsidR="001D1CD6" w:rsidRPr="001D1CD6">
        <w:rPr>
          <w:rFonts w:ascii="David" w:hAnsi="David" w:cs="David"/>
          <w:sz w:val="24"/>
          <w:szCs w:val="24"/>
          <w:rtl/>
        </w:rPr>
        <w:t>ב</w:t>
      </w:r>
      <w:r w:rsidR="001D1CD6" w:rsidRPr="001D1CD6">
        <w:rPr>
          <w:rFonts w:ascii="David" w:hAnsi="David" w:cs="David" w:hint="cs"/>
          <w:sz w:val="24"/>
          <w:szCs w:val="24"/>
          <w:rtl/>
        </w:rPr>
        <w:t xml:space="preserve">ית </w:t>
      </w:r>
      <w:r w:rsidR="006B491D" w:rsidRPr="001D1CD6">
        <w:rPr>
          <w:rFonts w:ascii="David" w:hAnsi="David" w:cs="David"/>
          <w:sz w:val="24"/>
          <w:szCs w:val="24"/>
          <w:rtl/>
        </w:rPr>
        <w:t>הדין הרבני</w:t>
      </w:r>
      <w:r w:rsidR="00A821B3" w:rsidRPr="001D1CD6">
        <w:rPr>
          <w:rFonts w:ascii="David" w:hAnsi="David" w:cs="David"/>
          <w:sz w:val="24"/>
          <w:szCs w:val="24"/>
          <w:rtl/>
        </w:rPr>
        <w:t xml:space="preserve"> </w:t>
      </w:r>
      <w:r w:rsidR="000C7DB4" w:rsidRPr="001D1CD6">
        <w:rPr>
          <w:rFonts w:ascii="David" w:hAnsi="David" w:cs="David" w:hint="cs"/>
          <w:sz w:val="24"/>
          <w:szCs w:val="24"/>
          <w:rtl/>
        </w:rPr>
        <w:t>ה</w:t>
      </w:r>
      <w:r w:rsidR="00A821B3" w:rsidRPr="001D1CD6">
        <w:rPr>
          <w:rFonts w:ascii="David" w:hAnsi="David" w:cs="David"/>
          <w:sz w:val="24"/>
          <w:szCs w:val="24"/>
          <w:rtl/>
        </w:rPr>
        <w:t>גדול</w:t>
      </w:r>
      <w:r w:rsidR="001D1CD6" w:rsidRPr="001D1CD6">
        <w:rPr>
          <w:rFonts w:ascii="David" w:hAnsi="David" w:cs="David"/>
          <w:sz w:val="24"/>
          <w:szCs w:val="24"/>
        </w:rPr>
        <w:t xml:space="preserve"> 4455-22-1</w:t>
      </w:r>
      <w:r w:rsidR="00A821B3" w:rsidRPr="001D1CD6">
        <w:rPr>
          <w:rFonts w:ascii="David" w:hAnsi="David" w:cs="David"/>
          <w:b/>
          <w:bCs/>
          <w:sz w:val="24"/>
          <w:szCs w:val="24"/>
        </w:rPr>
        <w:t xml:space="preserve"> </w:t>
      </w:r>
      <w:r w:rsidRPr="001D1CD6">
        <w:rPr>
          <w:rFonts w:ascii="David" w:hAnsi="David" w:cs="David"/>
          <w:b/>
          <w:bCs/>
          <w:sz w:val="24"/>
          <w:szCs w:val="24"/>
          <w:rtl/>
        </w:rPr>
        <w:t>פלונית נ' פלוני</w:t>
      </w:r>
      <w:r w:rsidRPr="001D1CD6">
        <w:rPr>
          <w:rFonts w:ascii="David" w:hAnsi="David" w:cs="David"/>
          <w:sz w:val="24"/>
          <w:szCs w:val="24"/>
          <w:rtl/>
        </w:rPr>
        <w:t xml:space="preserve"> (</w:t>
      </w:r>
      <w:r w:rsidR="001D1CD6" w:rsidRPr="001D1CD6">
        <w:rPr>
          <w:rFonts w:ascii="David" w:hAnsi="David" w:cs="David" w:hint="cs"/>
          <w:sz w:val="24"/>
          <w:szCs w:val="24"/>
          <w:rtl/>
        </w:rPr>
        <w:t>פורסם בנבו, 1.12.2009),</w:t>
      </w:r>
      <w:r w:rsidR="001D1CD6">
        <w:rPr>
          <w:rFonts w:ascii="David" w:hAnsi="David" w:cs="David" w:hint="cs"/>
          <w:sz w:val="24"/>
          <w:szCs w:val="24"/>
          <w:rtl/>
        </w:rPr>
        <w:t xml:space="preserve"> </w:t>
      </w:r>
      <w:r w:rsidRPr="000C7DB4">
        <w:rPr>
          <w:rFonts w:ascii="David" w:hAnsi="David" w:cs="David"/>
          <w:sz w:val="24"/>
          <w:szCs w:val="24"/>
          <w:rtl/>
        </w:rPr>
        <w:t xml:space="preserve">שם </w:t>
      </w:r>
      <w:r w:rsidR="008E6A0E" w:rsidRPr="000C7DB4">
        <w:rPr>
          <w:rFonts w:ascii="David" w:hAnsi="David" w:cs="David"/>
          <w:sz w:val="24"/>
          <w:szCs w:val="24"/>
          <w:rtl/>
        </w:rPr>
        <w:t>נקבע כי אין מקום לחייב את האב האסיר במזונות ילדיו שעה שהצדדים גרושים ו</w:t>
      </w:r>
      <w:r w:rsidRPr="000C7DB4">
        <w:rPr>
          <w:rFonts w:ascii="David" w:hAnsi="David" w:cs="David"/>
          <w:sz w:val="24"/>
          <w:szCs w:val="24"/>
          <w:rtl/>
        </w:rPr>
        <w:t xml:space="preserve">כאשר האב לא היה </w:t>
      </w:r>
      <w:r w:rsidR="008E6A0E" w:rsidRPr="000C7DB4">
        <w:rPr>
          <w:rFonts w:ascii="David" w:hAnsi="David" w:cs="David"/>
          <w:sz w:val="24"/>
          <w:szCs w:val="24"/>
          <w:rtl/>
        </w:rPr>
        <w:t>חייב לזון את אשתו.</w:t>
      </w:r>
    </w:p>
    <w:p w:rsidR="008E6A0E" w:rsidRDefault="008520B7" w:rsidP="00AE05BA">
      <w:pPr>
        <w:pStyle w:val="10"/>
        <w:spacing w:after="120" w:line="360" w:lineRule="auto"/>
        <w:contextualSpacing w:val="0"/>
        <w:jc w:val="both"/>
        <w:rPr>
          <w:rFonts w:ascii="David" w:hAnsi="David"/>
          <w:rtl/>
        </w:rPr>
      </w:pPr>
      <w:r>
        <w:rPr>
          <w:rFonts w:ascii="David" w:hAnsi="David" w:hint="cs"/>
          <w:rtl/>
        </w:rPr>
        <w:t xml:space="preserve">אולם, </w:t>
      </w:r>
      <w:r w:rsidR="008E6A0E">
        <w:rPr>
          <w:rFonts w:ascii="David" w:hAnsi="David"/>
          <w:rtl/>
        </w:rPr>
        <w:t xml:space="preserve">בפסיקה מאוחרת יותר נקבע כי </w:t>
      </w:r>
      <w:r w:rsidR="008E6A0E" w:rsidRPr="00D47AD7">
        <w:rPr>
          <w:rFonts w:ascii="David" w:hAnsi="David"/>
          <w:b/>
          <w:bCs/>
          <w:u w:val="single"/>
          <w:rtl/>
        </w:rPr>
        <w:t>אב שמביא על עצמו את מצבו האומלל שבו לא יכול הוא לפרנס את ילדיו, מחוייב לשאת במזונות ילדיו גם לאחר גיל שש</w:t>
      </w:r>
      <w:r w:rsidR="008E6A0E">
        <w:rPr>
          <w:rFonts w:ascii="David" w:hAnsi="David"/>
          <w:rtl/>
        </w:rPr>
        <w:t xml:space="preserve"> וזאת בהתאם לתקנת הרבנות הראשית משנת תש"ד </w:t>
      </w:r>
      <w:r w:rsidR="008E6A0E" w:rsidRPr="001D1CD6">
        <w:rPr>
          <w:rFonts w:ascii="David" w:hAnsi="David"/>
          <w:rtl/>
        </w:rPr>
        <w:t>(</w:t>
      </w:r>
      <w:r w:rsidR="001D1CD6" w:rsidRPr="001D1CD6">
        <w:rPr>
          <w:rFonts w:ascii="David" w:hAnsi="David"/>
          <w:rtl/>
        </w:rPr>
        <w:t xml:space="preserve">ראו: בתי-הדין הרבניים </w:t>
      </w:r>
      <w:r w:rsidR="001D1CD6">
        <w:rPr>
          <w:rFonts w:ascii="David" w:hAnsi="David" w:hint="cs"/>
          <w:rtl/>
        </w:rPr>
        <w:t>(</w:t>
      </w:r>
      <w:r w:rsidR="001D1CD6" w:rsidRPr="001D1CD6">
        <w:rPr>
          <w:rFonts w:ascii="David" w:hAnsi="David"/>
          <w:rtl/>
        </w:rPr>
        <w:t>תל אביב-יפו</w:t>
      </w:r>
      <w:r w:rsidR="001D1CD6">
        <w:rPr>
          <w:rFonts w:ascii="David" w:hAnsi="David" w:hint="cs"/>
          <w:rtl/>
        </w:rPr>
        <w:t>)</w:t>
      </w:r>
      <w:r w:rsidR="008E6A0E" w:rsidRPr="001D1CD6">
        <w:rPr>
          <w:rFonts w:ascii="David" w:hAnsi="David"/>
          <w:rtl/>
        </w:rPr>
        <w:t xml:space="preserve"> 1074657/</w:t>
      </w:r>
      <w:r w:rsidR="008E6A0E" w:rsidRPr="001D1CD6">
        <w:rPr>
          <w:color w:val="000000"/>
          <w:rtl/>
        </w:rPr>
        <w:t xml:space="preserve"> </w:t>
      </w:r>
      <w:r w:rsidR="008E6A0E" w:rsidRPr="001D1CD6">
        <w:rPr>
          <w:b/>
          <w:bCs/>
          <w:color w:val="000000"/>
          <w:rtl/>
        </w:rPr>
        <w:t>פלונית נ' פלוני</w:t>
      </w:r>
      <w:r w:rsidR="008E6A0E" w:rsidRPr="001D1CD6">
        <w:rPr>
          <w:color w:val="000000"/>
          <w:rtl/>
        </w:rPr>
        <w:t xml:space="preserve"> </w:t>
      </w:r>
      <w:r w:rsidR="008E6A0E" w:rsidRPr="001D1CD6">
        <w:rPr>
          <w:rFonts w:ascii="David" w:hAnsi="David"/>
          <w:rtl/>
        </w:rPr>
        <w:t>(נבו 15.3.2021)).</w:t>
      </w:r>
      <w:r w:rsidR="008E6A0E">
        <w:rPr>
          <w:rFonts w:ascii="David" w:hAnsi="David"/>
          <w:rtl/>
        </w:rPr>
        <w:t xml:space="preserve"> </w:t>
      </w:r>
      <w:r w:rsidR="00DD2033">
        <w:rPr>
          <w:rFonts w:ascii="David" w:hAnsi="David" w:hint="cs"/>
          <w:rtl/>
        </w:rPr>
        <w:t>כאמור שם בפסק דינו של כב' הדיין עידו שחר:</w:t>
      </w:r>
    </w:p>
    <w:p w:rsidR="006B1AA8" w:rsidRDefault="00DD2033" w:rsidP="00AE05BA">
      <w:pPr>
        <w:pStyle w:val="af"/>
        <w:ind w:left="1440" w:hanging="720"/>
        <w:rPr>
          <w:rFonts w:ascii="David" w:hAnsi="David" w:cs="David"/>
          <w:b/>
          <w:bCs/>
          <w:sz w:val="24"/>
          <w:szCs w:val="24"/>
          <w:rtl/>
        </w:rPr>
      </w:pPr>
      <w:r w:rsidRPr="006B1AA8">
        <w:rPr>
          <w:rFonts w:ascii="David" w:hAnsi="David" w:cs="David"/>
          <w:b/>
          <w:bCs/>
          <w:sz w:val="24"/>
          <w:szCs w:val="24"/>
          <w:rtl/>
        </w:rPr>
        <w:t>"</w:t>
      </w:r>
      <w:r w:rsidRPr="006B1AA8">
        <w:rPr>
          <w:rFonts w:ascii="David" w:hAnsi="David" w:cs="David"/>
          <w:b/>
          <w:bCs/>
          <w:sz w:val="24"/>
          <w:szCs w:val="24"/>
          <w:rtl/>
        </w:rPr>
        <w:tab/>
        <w:t xml:space="preserve">יש יסוד בדין לומר שאדם שמעולל מעללי רשע, ופוגע ביודעין ביוצאי ירכיו, ומביא על עצמו את מצבו האומלל שבו הוא לא יכול לפרנס את ילדיו, אינו שונה מאב שמתעלם מצורכי ילדיו, שלגביו אין חולק שתוקנה </w:t>
      </w:r>
      <w:bookmarkStart w:id="0" w:name="Seif49"/>
      <w:r w:rsidRPr="006B1AA8">
        <w:rPr>
          <w:rFonts w:ascii="David" w:hAnsi="David" w:cs="David"/>
          <w:b/>
          <w:bCs/>
          <w:sz w:val="24"/>
          <w:szCs w:val="24"/>
          <w:rtl/>
        </w:rPr>
        <w:t xml:space="preserve">תקנת </w:t>
      </w:r>
      <w:bookmarkEnd w:id="0"/>
      <w:r w:rsidRPr="006B1AA8">
        <w:rPr>
          <w:rFonts w:ascii="David" w:hAnsi="David" w:cs="David"/>
          <w:b/>
          <w:bCs/>
          <w:sz w:val="24"/>
          <w:szCs w:val="24"/>
          <w:rtl/>
        </w:rPr>
        <w:t xml:space="preserve">הרבנות הראשית המחייבת את האב לשאת במזונות ילדיו לאחר גיל שש. </w:t>
      </w:r>
      <w:r w:rsidRPr="006B1AA8">
        <w:rPr>
          <w:rFonts w:ascii="David" w:hAnsi="David" w:cs="David"/>
          <w:b/>
          <w:bCs/>
          <w:sz w:val="24"/>
          <w:szCs w:val="24"/>
          <w:rtl/>
        </w:rPr>
        <w:tab/>
        <w:t>"</w:t>
      </w:r>
    </w:p>
    <w:p w:rsidR="00155053" w:rsidRPr="00155053" w:rsidRDefault="008520B7" w:rsidP="00AE05BA">
      <w:pPr>
        <w:pStyle w:val="ad"/>
        <w:numPr>
          <w:ilvl w:val="0"/>
          <w:numId w:val="4"/>
        </w:numPr>
        <w:spacing w:after="120" w:line="360" w:lineRule="auto"/>
        <w:contextualSpacing w:val="0"/>
        <w:jc w:val="both"/>
        <w:rPr>
          <w:rFonts w:ascii="David" w:hAnsi="David" w:cs="David"/>
          <w:sz w:val="24"/>
          <w:szCs w:val="24"/>
        </w:rPr>
      </w:pPr>
      <w:r w:rsidRPr="006B1AA8">
        <w:rPr>
          <w:rFonts w:ascii="David" w:hAnsi="David" w:cs="David"/>
          <w:sz w:val="24"/>
          <w:szCs w:val="24"/>
          <w:rtl/>
        </w:rPr>
        <w:t>סבור</w:t>
      </w:r>
      <w:r w:rsidR="006B1AA8" w:rsidRPr="006B1AA8">
        <w:rPr>
          <w:rFonts w:ascii="David" w:hAnsi="David" w:cs="David"/>
          <w:sz w:val="24"/>
          <w:szCs w:val="24"/>
          <w:rtl/>
        </w:rPr>
        <w:t>ת</w:t>
      </w:r>
      <w:r w:rsidRPr="006B1AA8">
        <w:rPr>
          <w:rFonts w:ascii="David" w:hAnsi="David" w:cs="David"/>
          <w:sz w:val="24"/>
          <w:szCs w:val="24"/>
          <w:rtl/>
        </w:rPr>
        <w:t xml:space="preserve">ני </w:t>
      </w:r>
      <w:r w:rsidR="008E6A0E" w:rsidRPr="006B1AA8">
        <w:rPr>
          <w:rFonts w:ascii="David" w:hAnsi="David" w:cs="David"/>
          <w:sz w:val="24"/>
          <w:szCs w:val="24"/>
          <w:rtl/>
        </w:rPr>
        <w:t>בענייננו</w:t>
      </w:r>
      <w:r w:rsidRPr="006B1AA8">
        <w:rPr>
          <w:rFonts w:ascii="David" w:hAnsi="David" w:cs="David"/>
          <w:sz w:val="24"/>
          <w:szCs w:val="24"/>
          <w:rtl/>
        </w:rPr>
        <w:t xml:space="preserve"> כי </w:t>
      </w:r>
      <w:r w:rsidR="00155053">
        <w:rPr>
          <w:rFonts w:ascii="David" w:hAnsi="David" w:cs="David"/>
          <w:b/>
          <w:bCs/>
          <w:sz w:val="24"/>
          <w:szCs w:val="24"/>
          <w:u w:val="single"/>
          <w:rtl/>
        </w:rPr>
        <w:t xml:space="preserve">לא יכולה להיות </w:t>
      </w:r>
      <w:r w:rsidRPr="00236BB7">
        <w:rPr>
          <w:rFonts w:ascii="David" w:hAnsi="David" w:cs="David"/>
          <w:b/>
          <w:bCs/>
          <w:sz w:val="24"/>
          <w:szCs w:val="24"/>
          <w:u w:val="single"/>
          <w:rtl/>
        </w:rPr>
        <w:t xml:space="preserve">מחלוקת כי האב הוא שהביא במעשיו את המשפחה למצב </w:t>
      </w:r>
      <w:r w:rsidR="009D40C9" w:rsidRPr="00236BB7">
        <w:rPr>
          <w:rFonts w:ascii="David" w:hAnsi="David" w:cs="David"/>
          <w:b/>
          <w:bCs/>
          <w:sz w:val="24"/>
          <w:szCs w:val="24"/>
          <w:u w:val="single"/>
          <w:rtl/>
        </w:rPr>
        <w:t>ה</w:t>
      </w:r>
      <w:r w:rsidR="00155053">
        <w:rPr>
          <w:rFonts w:ascii="David" w:hAnsi="David" w:cs="David"/>
          <w:b/>
          <w:bCs/>
          <w:sz w:val="24"/>
          <w:szCs w:val="24"/>
          <w:u w:val="single"/>
          <w:rtl/>
        </w:rPr>
        <w:t xml:space="preserve">אומלל שבו </w:t>
      </w:r>
      <w:r w:rsidR="00155053">
        <w:rPr>
          <w:rFonts w:ascii="David" w:hAnsi="David" w:cs="David" w:hint="cs"/>
          <w:b/>
          <w:bCs/>
          <w:sz w:val="24"/>
          <w:szCs w:val="24"/>
          <w:u w:val="single"/>
          <w:rtl/>
        </w:rPr>
        <w:t xml:space="preserve">הוא מרצה עונש מאסר ואינו מתפקד בתפקידיו ההוריים. הנתבע הורשע בביצוע פגיעות מיניות רבות </w:t>
      </w:r>
      <w:r w:rsidRPr="00236BB7">
        <w:rPr>
          <w:rFonts w:ascii="David" w:hAnsi="David" w:cs="David"/>
          <w:b/>
          <w:bCs/>
          <w:sz w:val="24"/>
          <w:szCs w:val="24"/>
          <w:u w:val="single"/>
          <w:rtl/>
        </w:rPr>
        <w:t xml:space="preserve">בקטינה בת המשפחה, </w:t>
      </w:r>
      <w:r w:rsidR="00155053">
        <w:rPr>
          <w:rFonts w:ascii="David" w:hAnsi="David" w:cs="David" w:hint="cs"/>
          <w:b/>
          <w:bCs/>
          <w:sz w:val="24"/>
          <w:szCs w:val="24"/>
          <w:u w:val="single"/>
          <w:rtl/>
        </w:rPr>
        <w:t>אחותה למחצה של הקטינה נושא התביעה ואינו יכול לצפות כי מעשיו אלו גם יביאו לפגיעה נוספת בקטינה נושא התביעה, תוך מניעת מזונותיה המגיעים לה ממנו.</w:t>
      </w:r>
    </w:p>
    <w:p w:rsidR="006B1AA8" w:rsidRPr="00BE41E9" w:rsidRDefault="00363022" w:rsidP="00BE41E9">
      <w:pPr>
        <w:pStyle w:val="ad"/>
        <w:numPr>
          <w:ilvl w:val="0"/>
          <w:numId w:val="4"/>
        </w:numPr>
        <w:spacing w:after="120" w:line="360" w:lineRule="auto"/>
        <w:contextualSpacing w:val="0"/>
        <w:jc w:val="both"/>
        <w:rPr>
          <w:rFonts w:ascii="David" w:hAnsi="David" w:cs="David"/>
          <w:sz w:val="24"/>
          <w:szCs w:val="24"/>
          <w:rtl/>
        </w:rPr>
      </w:pPr>
      <w:r w:rsidRPr="00BE41E9">
        <w:rPr>
          <w:rFonts w:ascii="David" w:hAnsi="David" w:cs="David" w:hint="cs"/>
          <w:sz w:val="24"/>
          <w:szCs w:val="24"/>
          <w:rtl/>
        </w:rPr>
        <w:t xml:space="preserve">ביחס לטענת האב כי יכול והחיוב למזונות יהפוך להיות חוב שלא ניתן לגבותו במהלך שנות מאסרו, אעיר כי </w:t>
      </w:r>
      <w:r w:rsidRPr="00BE41E9">
        <w:rPr>
          <w:rFonts w:ascii="David" w:hAnsi="David" w:cs="David"/>
          <w:sz w:val="24"/>
          <w:szCs w:val="24"/>
          <w:rtl/>
        </w:rPr>
        <w:t xml:space="preserve">אכן </w:t>
      </w:r>
      <w:r w:rsidRPr="00BE41E9">
        <w:rPr>
          <w:rFonts w:ascii="David" w:hAnsi="David" w:cs="David" w:hint="cs"/>
          <w:sz w:val="24"/>
          <w:szCs w:val="24"/>
          <w:rtl/>
        </w:rPr>
        <w:t>יכולות להיווצ</w:t>
      </w:r>
      <w:r w:rsidRPr="00BE41E9">
        <w:rPr>
          <w:rFonts w:ascii="David" w:hAnsi="David" w:cs="David" w:hint="eastAsia"/>
          <w:sz w:val="24"/>
          <w:szCs w:val="24"/>
          <w:rtl/>
        </w:rPr>
        <w:t>ר</w:t>
      </w:r>
      <w:r w:rsidRPr="00BE41E9">
        <w:rPr>
          <w:rFonts w:ascii="David" w:hAnsi="David" w:cs="David" w:hint="cs"/>
          <w:sz w:val="24"/>
          <w:szCs w:val="24"/>
          <w:rtl/>
        </w:rPr>
        <w:t xml:space="preserve"> נסי</w:t>
      </w:r>
      <w:r w:rsidR="00AE05BA" w:rsidRPr="00BE41E9">
        <w:rPr>
          <w:rFonts w:ascii="David" w:hAnsi="David" w:cs="David" w:hint="cs"/>
          <w:sz w:val="24"/>
          <w:szCs w:val="24"/>
          <w:rtl/>
        </w:rPr>
        <w:t>בות בהן אב המרצה עונש מאסר יחוי</w:t>
      </w:r>
      <w:r w:rsidRPr="00BE41E9">
        <w:rPr>
          <w:rFonts w:ascii="David" w:hAnsi="David" w:cs="David" w:hint="cs"/>
          <w:sz w:val="24"/>
          <w:szCs w:val="24"/>
          <w:rtl/>
        </w:rPr>
        <w:t xml:space="preserve">ב במזונות </w:t>
      </w:r>
      <w:r w:rsidRPr="00BE41E9">
        <w:rPr>
          <w:rFonts w:ascii="David" w:hAnsi="David" w:cs="David" w:hint="cs"/>
          <w:sz w:val="24"/>
          <w:szCs w:val="24"/>
          <w:rtl/>
        </w:rPr>
        <w:lastRenderedPageBreak/>
        <w:t>ילדיו הקטינים ויווצר ל</w:t>
      </w:r>
      <w:r w:rsidR="00AE05BA" w:rsidRPr="00BE41E9">
        <w:rPr>
          <w:rFonts w:ascii="David" w:hAnsi="David" w:cs="David" w:hint="cs"/>
          <w:sz w:val="24"/>
          <w:szCs w:val="24"/>
          <w:rtl/>
        </w:rPr>
        <w:t xml:space="preserve">ו </w:t>
      </w:r>
      <w:r w:rsidRPr="00BE41E9">
        <w:rPr>
          <w:rFonts w:ascii="David" w:hAnsi="David" w:cs="David" w:hint="cs"/>
          <w:sz w:val="24"/>
          <w:szCs w:val="24"/>
          <w:rtl/>
        </w:rPr>
        <w:t xml:space="preserve">חוב </w:t>
      </w:r>
      <w:r w:rsidR="00AE05BA" w:rsidRPr="00BE41E9">
        <w:rPr>
          <w:rFonts w:ascii="David" w:hAnsi="David" w:cs="David" w:hint="cs"/>
          <w:sz w:val="24"/>
          <w:szCs w:val="24"/>
          <w:rtl/>
        </w:rPr>
        <w:t>ב</w:t>
      </w:r>
      <w:r w:rsidRPr="00BE41E9">
        <w:rPr>
          <w:rFonts w:ascii="David" w:hAnsi="David" w:cs="David" w:hint="cs"/>
          <w:sz w:val="24"/>
          <w:szCs w:val="24"/>
          <w:rtl/>
        </w:rPr>
        <w:t xml:space="preserve">מוסד לביטוח לאומי ואולם כבר נפסק בעבר כי בהעדר סיבה שלא תאפשר זאת, יש לצפות מן האב להסדיר חוב זה לאחר שישוחרר ממאסרו ואף אין מניעה כי יסדיר פריסת החוב (ר' לענין זה פס"ד של כב' הש' פיליפ מרכוס בתמ"ש 3112-09 </w:t>
      </w:r>
      <w:r w:rsidRPr="00BE41E9">
        <w:rPr>
          <w:rFonts w:ascii="David" w:hAnsi="David" w:cs="David" w:hint="cs"/>
          <w:b/>
          <w:bCs/>
          <w:sz w:val="24"/>
          <w:szCs w:val="24"/>
          <w:rtl/>
        </w:rPr>
        <w:t>י.ו. (קטין</w:t>
      </w:r>
      <w:r w:rsidR="00BE41E9" w:rsidRPr="00BE41E9">
        <w:rPr>
          <w:rFonts w:ascii="David" w:hAnsi="David" w:cs="David" w:hint="cs"/>
          <w:b/>
          <w:bCs/>
          <w:sz w:val="24"/>
          <w:szCs w:val="24"/>
          <w:rtl/>
        </w:rPr>
        <w:t>)</w:t>
      </w:r>
      <w:r w:rsidRPr="00BE41E9">
        <w:rPr>
          <w:rFonts w:ascii="David" w:hAnsi="David" w:cs="David" w:hint="cs"/>
          <w:b/>
          <w:bCs/>
          <w:sz w:val="24"/>
          <w:szCs w:val="24"/>
          <w:rtl/>
        </w:rPr>
        <w:t xml:space="preserve"> נ' א.ו.</w:t>
      </w:r>
      <w:r w:rsidRPr="00BE41E9">
        <w:rPr>
          <w:rFonts w:ascii="David" w:hAnsi="David" w:cs="David" w:hint="cs"/>
          <w:sz w:val="24"/>
          <w:szCs w:val="24"/>
          <w:rtl/>
        </w:rPr>
        <w:t xml:space="preserve"> </w:t>
      </w:r>
      <w:r w:rsidR="00BE41E9">
        <w:rPr>
          <w:rFonts w:ascii="David" w:hAnsi="David" w:cs="David" w:hint="cs"/>
          <w:sz w:val="24"/>
          <w:szCs w:val="24"/>
          <w:rtl/>
        </w:rPr>
        <w:t xml:space="preserve">(פורסם בנבו, 7.12.2011). </w:t>
      </w:r>
      <w:r w:rsidR="006B1AA8" w:rsidRPr="00BE41E9">
        <w:rPr>
          <w:rFonts w:ascii="David" w:hAnsi="David" w:cs="David" w:hint="cs"/>
          <w:sz w:val="24"/>
          <w:szCs w:val="24"/>
          <w:rtl/>
        </w:rPr>
        <w:t>חובה על ביהמ"ש לפ</w:t>
      </w:r>
      <w:r w:rsidR="00BE41E9">
        <w:rPr>
          <w:rFonts w:ascii="David" w:hAnsi="David" w:cs="David" w:hint="cs"/>
          <w:sz w:val="24"/>
          <w:szCs w:val="24"/>
          <w:rtl/>
        </w:rPr>
        <w:t>סוק לקטינה את מזונותיה ההכרחיים</w:t>
      </w:r>
      <w:r w:rsidR="006B1AA8" w:rsidRPr="00BE41E9">
        <w:rPr>
          <w:rFonts w:ascii="David" w:hAnsi="David" w:cs="David" w:hint="cs"/>
          <w:sz w:val="24"/>
          <w:szCs w:val="24"/>
          <w:rtl/>
        </w:rPr>
        <w:t>, בין אם אביה יכול לשלמם כעת ובין אם יוכל בעתיד להסדיר חובות ככל והאם תגבה המזונות באמצעות המוסד לביטוח לאומי.</w:t>
      </w:r>
    </w:p>
    <w:p w:rsidR="006B1AA8" w:rsidRDefault="006B1AA8" w:rsidP="00BE41E9">
      <w:pPr>
        <w:pStyle w:val="10"/>
        <w:spacing w:after="120" w:line="360" w:lineRule="auto"/>
        <w:contextualSpacing w:val="0"/>
        <w:jc w:val="both"/>
        <w:rPr>
          <w:rFonts w:ascii="David" w:hAnsi="David"/>
          <w:rtl/>
        </w:rPr>
      </w:pPr>
      <w:r>
        <w:rPr>
          <w:rFonts w:ascii="David" w:hAnsi="David" w:hint="cs"/>
          <w:rtl/>
        </w:rPr>
        <w:t>לא זו בלבד שהאב במעשיו מנע מעצמו להתנהל בצורה נורמטיבית ותקינה לטובת בתו, אלא ש</w:t>
      </w:r>
      <w:r w:rsidR="00F54B0C">
        <w:rPr>
          <w:rFonts w:ascii="David" w:hAnsi="David" w:hint="cs"/>
          <w:rtl/>
        </w:rPr>
        <w:t>נוכח העבירות שהורשע בביצוען, אף</w:t>
      </w:r>
      <w:r>
        <w:rPr>
          <w:rFonts w:ascii="David" w:hAnsi="David" w:hint="cs"/>
          <w:rtl/>
        </w:rPr>
        <w:t xml:space="preserve"> הותיר את אם הקטינה כשהיא </w:t>
      </w:r>
      <w:r w:rsidR="00F54B0C">
        <w:rPr>
          <w:rFonts w:ascii="David" w:hAnsi="David" w:hint="cs"/>
          <w:rtl/>
        </w:rPr>
        <w:t>אם לשלושה ילדים המתמודדים עם נסי</w:t>
      </w:r>
      <w:r>
        <w:rPr>
          <w:rFonts w:ascii="David" w:hAnsi="David" w:hint="cs"/>
          <w:rtl/>
        </w:rPr>
        <w:t>בות חיים מורכבות לאחר פגיעות מיניות באחת הקטינות ע"י הנתבע.</w:t>
      </w:r>
    </w:p>
    <w:p w:rsidR="006B1AA8" w:rsidRPr="00155053" w:rsidRDefault="003E3E61" w:rsidP="00BE41E9">
      <w:pPr>
        <w:pStyle w:val="10"/>
        <w:spacing w:after="120" w:line="360" w:lineRule="auto"/>
        <w:contextualSpacing w:val="0"/>
        <w:jc w:val="both"/>
        <w:rPr>
          <w:rFonts w:ascii="David" w:hAnsi="David"/>
          <w:b/>
          <w:bCs/>
          <w:rtl/>
        </w:rPr>
      </w:pPr>
      <w:r>
        <w:rPr>
          <w:rFonts w:ascii="David" w:hAnsi="David" w:hint="cs"/>
          <w:b/>
          <w:bCs/>
          <w:rtl/>
        </w:rPr>
        <w:t>עו</w:t>
      </w:r>
      <w:r w:rsidR="00BF7A75">
        <w:rPr>
          <w:rFonts w:ascii="David" w:hAnsi="David" w:hint="cs"/>
          <w:b/>
          <w:bCs/>
          <w:rtl/>
        </w:rPr>
        <w:t xml:space="preserve">ד הבאתי בחשבון כי </w:t>
      </w:r>
      <w:r w:rsidR="006B1AA8" w:rsidRPr="00155053">
        <w:rPr>
          <w:rFonts w:ascii="David" w:hAnsi="David" w:hint="cs"/>
          <w:b/>
          <w:bCs/>
          <w:rtl/>
        </w:rPr>
        <w:t>מעשיו של הנתבע יצרו מעגלי מאמץ מיוחד נוספים לאם, מעבר לטיפול השוטף בקטינה נ</w:t>
      </w:r>
      <w:r w:rsidR="003F1161">
        <w:rPr>
          <w:rFonts w:ascii="David" w:hAnsi="David" w:hint="cs"/>
          <w:b/>
          <w:bCs/>
          <w:rtl/>
        </w:rPr>
        <w:t>ו</w:t>
      </w:r>
      <w:r w:rsidR="006B1AA8" w:rsidRPr="00155053">
        <w:rPr>
          <w:rFonts w:ascii="David" w:hAnsi="David" w:hint="cs"/>
          <w:b/>
          <w:bCs/>
          <w:rtl/>
        </w:rPr>
        <w:t>שא ההליך.</w:t>
      </w:r>
    </w:p>
    <w:p w:rsidR="008E6A0E" w:rsidRPr="00BE41E9" w:rsidRDefault="008E6A0E" w:rsidP="00BE41E9">
      <w:pPr>
        <w:pStyle w:val="ad"/>
        <w:numPr>
          <w:ilvl w:val="0"/>
          <w:numId w:val="4"/>
        </w:numPr>
        <w:spacing w:after="120" w:line="360" w:lineRule="auto"/>
        <w:contextualSpacing w:val="0"/>
        <w:jc w:val="both"/>
        <w:rPr>
          <w:rFonts w:ascii="David" w:hAnsi="David" w:cs="David"/>
          <w:sz w:val="24"/>
          <w:szCs w:val="24"/>
        </w:rPr>
      </w:pPr>
      <w:r w:rsidRPr="00BE41E9">
        <w:rPr>
          <w:rFonts w:ascii="David" w:hAnsi="David" w:cs="David"/>
          <w:sz w:val="24"/>
          <w:szCs w:val="24"/>
          <w:rtl/>
        </w:rPr>
        <w:t>האם עובדת בחברת "פלאפון" ובנוסף בעלת עסק פטור בתחום הציפורני</w:t>
      </w:r>
      <w:r w:rsidR="00BE41E9">
        <w:rPr>
          <w:rFonts w:ascii="David" w:hAnsi="David" w:cs="David"/>
          <w:sz w:val="24"/>
          <w:szCs w:val="24"/>
          <w:rtl/>
        </w:rPr>
        <w:t>ים. מתלושי השכר שצורפו לסיכומיה</w:t>
      </w:r>
      <w:r w:rsidRPr="00BE41E9">
        <w:rPr>
          <w:rFonts w:ascii="David" w:hAnsi="David" w:cs="David"/>
          <w:sz w:val="24"/>
          <w:szCs w:val="24"/>
          <w:rtl/>
        </w:rPr>
        <w:t xml:space="preserve"> ודו"ח רווח והפסד לשנת 2023</w:t>
      </w:r>
      <w:r w:rsidR="00BE41E9">
        <w:rPr>
          <w:rFonts w:ascii="David" w:hAnsi="David" w:cs="David" w:hint="cs"/>
          <w:sz w:val="24"/>
          <w:szCs w:val="24"/>
          <w:rtl/>
        </w:rPr>
        <w:t>,</w:t>
      </w:r>
      <w:r w:rsidRPr="00BE41E9">
        <w:rPr>
          <w:rFonts w:ascii="David" w:hAnsi="David" w:cs="David"/>
          <w:sz w:val="24"/>
          <w:szCs w:val="24"/>
          <w:rtl/>
        </w:rPr>
        <w:t xml:space="preserve"> ניתן ללמוד כי האם משתכרת בסך של 9,659.84 ₪ ממוצע לחודש משני מקורות ההכנסה יחד. </w:t>
      </w:r>
    </w:p>
    <w:p w:rsidR="00D83D94" w:rsidRPr="00BE41E9" w:rsidRDefault="008E6A0E" w:rsidP="00BE41E9">
      <w:pPr>
        <w:pStyle w:val="ad"/>
        <w:numPr>
          <w:ilvl w:val="0"/>
          <w:numId w:val="4"/>
        </w:numPr>
        <w:spacing w:after="120" w:line="360" w:lineRule="auto"/>
        <w:contextualSpacing w:val="0"/>
        <w:jc w:val="both"/>
        <w:rPr>
          <w:rFonts w:ascii="David" w:hAnsi="David" w:cs="David"/>
          <w:sz w:val="24"/>
          <w:szCs w:val="24"/>
        </w:rPr>
      </w:pPr>
      <w:r w:rsidRPr="00BE41E9">
        <w:rPr>
          <w:rFonts w:ascii="David" w:hAnsi="David" w:cs="David"/>
          <w:sz w:val="24"/>
          <w:szCs w:val="24"/>
          <w:rtl/>
        </w:rPr>
        <w:t>האב לא צירף בסיכומיו, וגם לא בתגובתו למזונות זמניים מסמכים המעידים על הכנסותיו, או שמהם ניתן ללמוד על מצבו הכלכלי</w:t>
      </w:r>
      <w:r w:rsidR="00BE41E9">
        <w:rPr>
          <w:rFonts w:ascii="David" w:hAnsi="David" w:cs="David" w:hint="cs"/>
          <w:sz w:val="24"/>
          <w:szCs w:val="24"/>
          <w:rtl/>
        </w:rPr>
        <w:t>,</w:t>
      </w:r>
      <w:r w:rsidR="003F1161" w:rsidRPr="00BE41E9">
        <w:rPr>
          <w:rFonts w:ascii="David" w:hAnsi="David" w:cs="David"/>
          <w:sz w:val="24"/>
          <w:szCs w:val="24"/>
          <w:rtl/>
        </w:rPr>
        <w:t xml:space="preserve"> מעבר לטענה הכללית כי בשל מאסרו אינו יכול לעבוד</w:t>
      </w:r>
      <w:r w:rsidRPr="00BE41E9">
        <w:rPr>
          <w:rFonts w:ascii="David" w:hAnsi="David" w:cs="David"/>
          <w:sz w:val="24"/>
          <w:szCs w:val="24"/>
          <w:rtl/>
        </w:rPr>
        <w:t xml:space="preserve">. </w:t>
      </w:r>
      <w:r w:rsidR="00D83D94" w:rsidRPr="00BE41E9">
        <w:rPr>
          <w:rFonts w:ascii="David" w:hAnsi="David" w:cs="David"/>
          <w:sz w:val="24"/>
          <w:szCs w:val="24"/>
          <w:rtl/>
        </w:rPr>
        <w:t xml:space="preserve">יחד עם זאת, הצדדים מכרו את דירתם ולאחר סילוק המשכנתא וחוב המזונות שעמד על סך </w:t>
      </w:r>
      <w:r w:rsidR="00B57699" w:rsidRPr="00BE41E9">
        <w:rPr>
          <w:rFonts w:ascii="David" w:hAnsi="David" w:cs="David"/>
          <w:sz w:val="24"/>
          <w:szCs w:val="24"/>
          <w:rtl/>
        </w:rPr>
        <w:t>54,614 ₪  נותר בידי האב</w:t>
      </w:r>
      <w:r w:rsidR="003F1161" w:rsidRPr="00BE41E9">
        <w:rPr>
          <w:rFonts w:ascii="David" w:hAnsi="David" w:cs="David"/>
          <w:sz w:val="24"/>
          <w:szCs w:val="24"/>
          <w:rtl/>
        </w:rPr>
        <w:t xml:space="preserve"> סכום של 36,802 ₪ המצוי בידי בא כוחו,</w:t>
      </w:r>
      <w:r w:rsidR="00B57699" w:rsidRPr="00BE41E9">
        <w:rPr>
          <w:rFonts w:ascii="David" w:hAnsi="David" w:cs="David"/>
          <w:sz w:val="24"/>
          <w:szCs w:val="24"/>
          <w:rtl/>
        </w:rPr>
        <w:t xml:space="preserve"> </w:t>
      </w:r>
      <w:r w:rsidR="00F54B0C" w:rsidRPr="00BE41E9">
        <w:rPr>
          <w:rFonts w:ascii="David" w:hAnsi="David" w:cs="David"/>
          <w:sz w:val="24"/>
          <w:szCs w:val="24"/>
          <w:rtl/>
        </w:rPr>
        <w:t>בכובעו ככונס הנכסים</w:t>
      </w:r>
      <w:r w:rsidR="003F1161" w:rsidRPr="00BE41E9">
        <w:rPr>
          <w:rFonts w:ascii="David" w:hAnsi="David" w:cs="David"/>
          <w:sz w:val="24"/>
          <w:szCs w:val="24"/>
          <w:rtl/>
        </w:rPr>
        <w:t>,</w:t>
      </w:r>
      <w:r w:rsidR="00F54B0C" w:rsidRPr="00BE41E9">
        <w:rPr>
          <w:rFonts w:ascii="David" w:hAnsi="David" w:cs="David"/>
          <w:sz w:val="24"/>
          <w:szCs w:val="24"/>
          <w:rtl/>
        </w:rPr>
        <w:t xml:space="preserve"> מאז ביצוע פ</w:t>
      </w:r>
      <w:r w:rsidR="00B57699" w:rsidRPr="00BE41E9">
        <w:rPr>
          <w:rFonts w:ascii="David" w:hAnsi="David" w:cs="David"/>
          <w:sz w:val="24"/>
          <w:szCs w:val="24"/>
          <w:rtl/>
        </w:rPr>
        <w:t>עולות מכירת הדירה וסילוק החובות.</w:t>
      </w:r>
    </w:p>
    <w:p w:rsidR="00363022" w:rsidRDefault="00363022" w:rsidP="0052599A">
      <w:pPr>
        <w:pStyle w:val="ad"/>
        <w:numPr>
          <w:ilvl w:val="0"/>
          <w:numId w:val="4"/>
        </w:numPr>
        <w:spacing w:after="120" w:line="360" w:lineRule="auto"/>
        <w:contextualSpacing w:val="0"/>
        <w:jc w:val="both"/>
        <w:rPr>
          <w:rFonts w:ascii="David" w:hAnsi="David" w:cs="David"/>
          <w:b/>
          <w:bCs/>
          <w:sz w:val="24"/>
          <w:szCs w:val="24"/>
          <w:rtl/>
        </w:rPr>
      </w:pPr>
      <w:r>
        <w:rPr>
          <w:rFonts w:ascii="David" w:hAnsi="David" w:cs="David" w:hint="cs"/>
          <w:sz w:val="24"/>
          <w:szCs w:val="24"/>
          <w:rtl/>
        </w:rPr>
        <w:t xml:space="preserve">בענין זה, הלכה פסוקה היא כי </w:t>
      </w:r>
      <w:r w:rsidRPr="00F16730">
        <w:rPr>
          <w:rFonts w:ascii="David" w:hAnsi="David" w:cs="David"/>
          <w:sz w:val="24"/>
          <w:szCs w:val="24"/>
          <w:rtl/>
          <w:lang w:eastAsia="he-IL"/>
        </w:rPr>
        <w:t xml:space="preserve">חובת אב בתשלום המזונות נמדדת לא רק לפי השתכרותו אלא גם לפי יכולתו ממקורות אחרים ובעיקר תוך התחשבות בנכסים נזילים </w:t>
      </w:r>
      <w:r w:rsidRPr="0052599A">
        <w:rPr>
          <w:rFonts w:ascii="David" w:hAnsi="David" w:cs="David"/>
          <w:sz w:val="24"/>
          <w:szCs w:val="24"/>
          <w:rtl/>
          <w:lang w:eastAsia="he-IL"/>
        </w:rPr>
        <w:t>(</w:t>
      </w:r>
      <w:hyperlink r:id="rId15" w:history="1">
        <w:r w:rsidRPr="0052599A">
          <w:rPr>
            <w:rStyle w:val="Hyperlink"/>
            <w:rFonts w:ascii="David" w:hAnsi="David" w:cs="David"/>
            <w:color w:val="auto"/>
            <w:sz w:val="24"/>
            <w:szCs w:val="24"/>
            <w:u w:val="none"/>
            <w:rtl/>
          </w:rPr>
          <w:t xml:space="preserve">ע"א 130/83 </w:t>
        </w:r>
        <w:r w:rsidRPr="0052599A">
          <w:rPr>
            <w:rStyle w:val="Hyperlink"/>
            <w:rFonts w:ascii="David" w:hAnsi="David" w:cs="David"/>
            <w:b/>
            <w:bCs/>
            <w:color w:val="auto"/>
            <w:sz w:val="24"/>
            <w:szCs w:val="24"/>
            <w:u w:val="none"/>
            <w:rtl/>
          </w:rPr>
          <w:t>פרייס נ' פרייס</w:t>
        </w:r>
        <w:r w:rsidRPr="0052599A">
          <w:rPr>
            <w:rStyle w:val="Hyperlink"/>
            <w:rFonts w:ascii="David" w:hAnsi="David" w:cs="David"/>
            <w:color w:val="auto"/>
            <w:sz w:val="24"/>
            <w:szCs w:val="24"/>
            <w:u w:val="none"/>
            <w:rtl/>
          </w:rPr>
          <w:t xml:space="preserve"> פ"ד לח</w:t>
        </w:r>
      </w:hyperlink>
      <w:r w:rsidR="0052599A">
        <w:rPr>
          <w:rFonts w:ascii="David" w:hAnsi="David" w:cs="David"/>
          <w:sz w:val="24"/>
          <w:szCs w:val="24"/>
          <w:rtl/>
        </w:rPr>
        <w:t>(1) 721, 725</w:t>
      </w:r>
      <w:r w:rsidR="0052599A">
        <w:rPr>
          <w:rFonts w:ascii="David" w:hAnsi="David" w:cs="David" w:hint="cs"/>
          <w:sz w:val="24"/>
          <w:szCs w:val="24"/>
          <w:rtl/>
        </w:rPr>
        <w:t>;</w:t>
      </w:r>
      <w:r w:rsidRPr="0052599A">
        <w:rPr>
          <w:rFonts w:ascii="David" w:hAnsi="David" w:cs="David"/>
          <w:sz w:val="24"/>
          <w:szCs w:val="24"/>
          <w:rtl/>
        </w:rPr>
        <w:t xml:space="preserve"> </w:t>
      </w:r>
      <w:hyperlink r:id="rId16" w:history="1">
        <w:r w:rsidRPr="0052599A">
          <w:rPr>
            <w:rStyle w:val="Hyperlink"/>
            <w:rFonts w:ascii="David" w:hAnsi="David" w:cs="David"/>
            <w:color w:val="auto"/>
            <w:sz w:val="24"/>
            <w:szCs w:val="24"/>
            <w:u w:val="none"/>
            <w:rtl/>
          </w:rPr>
          <w:t xml:space="preserve">ע"א 230/85 </w:t>
        </w:r>
        <w:r w:rsidRPr="0052599A">
          <w:rPr>
            <w:rStyle w:val="Hyperlink"/>
            <w:rFonts w:ascii="David" w:hAnsi="David" w:cs="David"/>
            <w:b/>
            <w:bCs/>
            <w:color w:val="auto"/>
            <w:sz w:val="24"/>
            <w:szCs w:val="24"/>
            <w:u w:val="none"/>
            <w:rtl/>
          </w:rPr>
          <w:t>עמיצור נ' עמיצור</w:t>
        </w:r>
        <w:r w:rsidRPr="0052599A">
          <w:rPr>
            <w:rStyle w:val="Hyperlink"/>
            <w:rFonts w:ascii="David" w:hAnsi="David" w:cs="David"/>
            <w:color w:val="auto"/>
            <w:sz w:val="24"/>
            <w:szCs w:val="24"/>
            <w:u w:val="none"/>
            <w:rtl/>
          </w:rPr>
          <w:t xml:space="preserve"> פ"ד מ</w:t>
        </w:r>
      </w:hyperlink>
      <w:r w:rsidRPr="0052599A">
        <w:rPr>
          <w:rFonts w:ascii="David" w:hAnsi="David" w:cs="David"/>
          <w:sz w:val="24"/>
          <w:szCs w:val="24"/>
          <w:rtl/>
        </w:rPr>
        <w:t xml:space="preserve">(1) 145 </w:t>
      </w:r>
      <w:r w:rsidR="0052599A">
        <w:rPr>
          <w:rFonts w:ascii="David" w:hAnsi="David" w:cs="David"/>
          <w:sz w:val="24"/>
          <w:szCs w:val="24"/>
          <w:rtl/>
        </w:rPr>
        <w:t>151-152</w:t>
      </w:r>
      <w:r w:rsidRPr="0052599A">
        <w:rPr>
          <w:rFonts w:ascii="David" w:hAnsi="David" w:cs="David"/>
          <w:sz w:val="24"/>
          <w:szCs w:val="24"/>
          <w:rtl/>
        </w:rPr>
        <w:t>)</w:t>
      </w:r>
      <w:r w:rsidR="00610525" w:rsidRPr="0052599A">
        <w:rPr>
          <w:rFonts w:ascii="David" w:hAnsi="David" w:cs="David" w:hint="cs"/>
          <w:sz w:val="24"/>
          <w:szCs w:val="24"/>
          <w:rtl/>
        </w:rPr>
        <w:t>.</w:t>
      </w:r>
    </w:p>
    <w:p w:rsidR="003F1161" w:rsidRDefault="003F1161" w:rsidP="0052599A">
      <w:pPr>
        <w:pStyle w:val="10"/>
        <w:spacing w:after="120" w:line="360" w:lineRule="auto"/>
        <w:contextualSpacing w:val="0"/>
        <w:jc w:val="both"/>
        <w:rPr>
          <w:rFonts w:ascii="David" w:hAnsi="David"/>
          <w:rtl/>
        </w:rPr>
      </w:pPr>
      <w:r>
        <w:rPr>
          <w:rFonts w:ascii="David" w:hAnsi="David" w:hint="cs"/>
          <w:rtl/>
        </w:rPr>
        <w:t xml:space="preserve">עוד יודגש כי </w:t>
      </w:r>
      <w:r w:rsidRPr="003F1161">
        <w:rPr>
          <w:rFonts w:ascii="David" w:hAnsi="David"/>
          <w:b/>
          <w:bCs/>
          <w:rtl/>
        </w:rPr>
        <w:t>מצבו של האב כאסיר הינו מצב זמני</w:t>
      </w:r>
      <w:r w:rsidRPr="00D83D94">
        <w:rPr>
          <w:rFonts w:ascii="David" w:hAnsi="David"/>
          <w:rtl/>
        </w:rPr>
        <w:t xml:space="preserve">, ובעוד כשנתיים עשוי הוא להשתחרר ממאסר ולהשתלב במעגל העבודה. מקובלת עליי גם טענת האם כי גילו של האב וכושרו הגופני יסייעו לו לעשות זאת במהרה. </w:t>
      </w:r>
    </w:p>
    <w:p w:rsidR="008E6A0E" w:rsidRPr="0052599A" w:rsidRDefault="008E6A0E" w:rsidP="0052599A">
      <w:pPr>
        <w:pStyle w:val="ad"/>
        <w:numPr>
          <w:ilvl w:val="0"/>
          <w:numId w:val="4"/>
        </w:numPr>
        <w:spacing w:after="120" w:line="360" w:lineRule="auto"/>
        <w:contextualSpacing w:val="0"/>
        <w:jc w:val="both"/>
        <w:rPr>
          <w:rFonts w:ascii="David" w:hAnsi="David" w:cs="David"/>
          <w:sz w:val="24"/>
          <w:szCs w:val="24"/>
        </w:rPr>
      </w:pPr>
      <w:r w:rsidRPr="0052599A">
        <w:rPr>
          <w:rFonts w:ascii="David" w:hAnsi="David" w:cs="David"/>
          <w:sz w:val="24"/>
          <w:szCs w:val="24"/>
          <w:rtl/>
        </w:rPr>
        <w:t xml:space="preserve">במקרה דנן, כאשר אני מביאה בחשבון את </w:t>
      </w:r>
      <w:bookmarkStart w:id="1" w:name="Seif9"/>
      <w:r w:rsidRPr="0052599A">
        <w:rPr>
          <w:rFonts w:ascii="David" w:hAnsi="David" w:cs="David"/>
          <w:sz w:val="24"/>
          <w:szCs w:val="24"/>
          <w:rtl/>
        </w:rPr>
        <w:t xml:space="preserve">כלל הפרמטרים </w:t>
      </w:r>
      <w:bookmarkEnd w:id="1"/>
      <w:r w:rsidRPr="0052599A">
        <w:rPr>
          <w:rFonts w:ascii="David" w:hAnsi="David" w:cs="David"/>
          <w:sz w:val="24"/>
          <w:szCs w:val="24"/>
          <w:rtl/>
        </w:rPr>
        <w:t xml:space="preserve">הרלוונטיים (יכולת כלכלית על </w:t>
      </w:r>
      <w:r w:rsidR="00F54B0C" w:rsidRPr="0052599A">
        <w:rPr>
          <w:rFonts w:ascii="David" w:hAnsi="David" w:cs="David"/>
          <w:sz w:val="24"/>
          <w:szCs w:val="24"/>
          <w:rtl/>
        </w:rPr>
        <w:t>כל היבטיה, צרכי הבסיס של הקטינה</w:t>
      </w:r>
      <w:r w:rsidRPr="0052599A">
        <w:rPr>
          <w:rFonts w:ascii="David" w:hAnsi="David" w:cs="David"/>
          <w:sz w:val="24"/>
          <w:szCs w:val="24"/>
          <w:rtl/>
        </w:rPr>
        <w:t xml:space="preserve"> וחלוקת זמני שהות</w:t>
      </w:r>
      <w:r w:rsidR="00671B1F" w:rsidRPr="0052599A">
        <w:rPr>
          <w:rFonts w:ascii="David" w:hAnsi="David" w:cs="David"/>
          <w:sz w:val="24"/>
          <w:szCs w:val="24"/>
          <w:rtl/>
        </w:rPr>
        <w:t>)</w:t>
      </w:r>
      <w:r w:rsidRPr="0052599A">
        <w:rPr>
          <w:rFonts w:ascii="David" w:hAnsi="David" w:cs="David"/>
          <w:sz w:val="24"/>
          <w:szCs w:val="24"/>
          <w:rtl/>
        </w:rPr>
        <w:t>, אני מוצאת לפסוק כדלקמן:</w:t>
      </w:r>
    </w:p>
    <w:p w:rsidR="004C37F9" w:rsidRDefault="008E6A0E" w:rsidP="0052599A">
      <w:pPr>
        <w:pStyle w:val="10"/>
        <w:numPr>
          <w:ilvl w:val="0"/>
          <w:numId w:val="6"/>
        </w:numPr>
        <w:spacing w:after="160" w:line="360" w:lineRule="auto"/>
        <w:ind w:left="1077" w:hanging="357"/>
        <w:contextualSpacing w:val="0"/>
        <w:jc w:val="both"/>
        <w:rPr>
          <w:rFonts w:ascii="Arial" w:hAnsi="Arial"/>
        </w:rPr>
      </w:pPr>
      <w:r>
        <w:rPr>
          <w:rFonts w:ascii="Arial" w:hAnsi="Arial"/>
          <w:noProof w:val="0"/>
          <w:rtl/>
        </w:rPr>
        <w:t xml:space="preserve">עד </w:t>
      </w:r>
      <w:r w:rsidR="00D83D94">
        <w:rPr>
          <w:rFonts w:ascii="Arial" w:hAnsi="Arial" w:hint="cs"/>
          <w:noProof w:val="0"/>
          <w:rtl/>
        </w:rPr>
        <w:t xml:space="preserve">לחודש אפריל 2022, בו חדלה להתגורר האם בדירה של הצדדים, </w:t>
      </w:r>
      <w:r w:rsidR="004C37F9">
        <w:rPr>
          <w:rFonts w:ascii="Arial" w:hAnsi="Arial" w:hint="cs"/>
          <w:noProof w:val="0"/>
          <w:rtl/>
        </w:rPr>
        <w:t>תעמוד על כנה ההחלטה למזונות זמניים.</w:t>
      </w:r>
    </w:p>
    <w:p w:rsidR="008E6A0E" w:rsidRDefault="004C37F9" w:rsidP="0052599A">
      <w:pPr>
        <w:pStyle w:val="10"/>
        <w:numPr>
          <w:ilvl w:val="0"/>
          <w:numId w:val="6"/>
        </w:numPr>
        <w:spacing w:after="160" w:line="360" w:lineRule="auto"/>
        <w:ind w:left="1077" w:hanging="357"/>
        <w:contextualSpacing w:val="0"/>
        <w:jc w:val="both"/>
        <w:rPr>
          <w:rFonts w:ascii="Arial" w:hAnsi="Arial"/>
        </w:rPr>
      </w:pPr>
      <w:r>
        <w:rPr>
          <w:rFonts w:ascii="Arial" w:hAnsi="Arial" w:hint="cs"/>
          <w:noProof w:val="0"/>
          <w:rtl/>
        </w:rPr>
        <w:t xml:space="preserve">ממזונות חודש מאי 2022 ואילך </w:t>
      </w:r>
      <w:r w:rsidR="008E6A0E">
        <w:rPr>
          <w:rFonts w:ascii="Arial" w:hAnsi="Arial"/>
          <w:rtl/>
        </w:rPr>
        <w:t xml:space="preserve">ישלם הנתבע למזונות הקטינה לידי אמה, דמי מזונות </w:t>
      </w:r>
      <w:r>
        <w:rPr>
          <w:rFonts w:ascii="Arial" w:hAnsi="Arial" w:hint="cs"/>
          <w:rtl/>
        </w:rPr>
        <w:t>בסך של 2,</w:t>
      </w:r>
      <w:r w:rsidR="00657A23">
        <w:rPr>
          <w:rFonts w:ascii="Arial" w:hAnsi="Arial" w:hint="cs"/>
          <w:rtl/>
        </w:rPr>
        <w:t>000</w:t>
      </w:r>
      <w:r>
        <w:rPr>
          <w:rFonts w:ascii="Arial" w:hAnsi="Arial" w:hint="cs"/>
          <w:rtl/>
        </w:rPr>
        <w:t xml:space="preserve"> ₪ כולל הוצאות המדור</w:t>
      </w:r>
      <w:r w:rsidR="00CB0F29">
        <w:rPr>
          <w:rFonts w:ascii="Arial" w:hAnsi="Arial" w:hint="cs"/>
          <w:rtl/>
        </w:rPr>
        <w:t xml:space="preserve"> </w:t>
      </w:r>
      <w:r w:rsidR="00CB0F29" w:rsidRPr="004C37F9">
        <w:rPr>
          <w:rFonts w:ascii="David" w:hAnsi="David"/>
          <w:rtl/>
        </w:rPr>
        <w:t>החל מיום</w:t>
      </w:r>
      <w:r w:rsidR="00CB0F29">
        <w:rPr>
          <w:rFonts w:ascii="David" w:hAnsi="David" w:hint="cs"/>
          <w:rtl/>
        </w:rPr>
        <w:t xml:space="preserve"> 3.5.2022 </w:t>
      </w:r>
      <w:r w:rsidR="00CB0F29" w:rsidRPr="004C37F9">
        <w:rPr>
          <w:rFonts w:ascii="David" w:hAnsi="David"/>
          <w:rtl/>
        </w:rPr>
        <w:t xml:space="preserve">ובכל </w:t>
      </w:r>
      <w:r w:rsidR="00CB0F29">
        <w:rPr>
          <w:rFonts w:ascii="David" w:hAnsi="David" w:hint="cs"/>
          <w:rtl/>
        </w:rPr>
        <w:t xml:space="preserve">3 </w:t>
      </w:r>
      <w:r w:rsidR="00CB0F29" w:rsidRPr="004C37F9">
        <w:rPr>
          <w:rFonts w:ascii="David" w:hAnsi="David"/>
          <w:rtl/>
        </w:rPr>
        <w:t xml:space="preserve">לחודש (להלן: </w:t>
      </w:r>
      <w:r w:rsidR="00CB0F29" w:rsidRPr="0052599A">
        <w:rPr>
          <w:rFonts w:ascii="David" w:hAnsi="David"/>
          <w:b/>
          <w:bCs/>
          <w:rtl/>
        </w:rPr>
        <w:t>"דמי המזונות"</w:t>
      </w:r>
      <w:r w:rsidR="00CB0F29" w:rsidRPr="004C37F9">
        <w:rPr>
          <w:rFonts w:ascii="David" w:hAnsi="David"/>
          <w:rtl/>
        </w:rPr>
        <w:t>)</w:t>
      </w:r>
    </w:p>
    <w:p w:rsidR="004C37F9" w:rsidRDefault="004C37F9" w:rsidP="0052599A">
      <w:pPr>
        <w:pStyle w:val="10"/>
        <w:numPr>
          <w:ilvl w:val="0"/>
          <w:numId w:val="6"/>
        </w:numPr>
        <w:spacing w:after="160" w:line="360" w:lineRule="auto"/>
        <w:ind w:left="1077" w:hanging="357"/>
        <w:contextualSpacing w:val="0"/>
        <w:jc w:val="both"/>
        <w:rPr>
          <w:rFonts w:ascii="Arial" w:hAnsi="Arial"/>
        </w:rPr>
      </w:pPr>
      <w:r>
        <w:rPr>
          <w:rFonts w:ascii="Arial" w:hAnsi="Arial" w:hint="cs"/>
          <w:rtl/>
        </w:rPr>
        <w:lastRenderedPageBreak/>
        <w:t>לאחר שחרורו של הנתבע ממאסר בכלא</w:t>
      </w:r>
      <w:r w:rsidR="0052599A">
        <w:rPr>
          <w:rFonts w:ascii="Arial" w:hAnsi="Arial" w:hint="cs"/>
          <w:rtl/>
        </w:rPr>
        <w:t>,</w:t>
      </w:r>
      <w:r>
        <w:rPr>
          <w:rFonts w:ascii="Arial" w:hAnsi="Arial" w:hint="cs"/>
          <w:rtl/>
        </w:rPr>
        <w:t xml:space="preserve"> יעמדו מזונ</w:t>
      </w:r>
      <w:r w:rsidR="00CB0F29">
        <w:rPr>
          <w:rFonts w:ascii="Arial" w:hAnsi="Arial" w:hint="cs"/>
          <w:rtl/>
        </w:rPr>
        <w:t>ו</w:t>
      </w:r>
      <w:r>
        <w:rPr>
          <w:rFonts w:ascii="Arial" w:hAnsi="Arial" w:hint="cs"/>
          <w:rtl/>
        </w:rPr>
        <w:t>תיה של הקטינה ע"ס 2,700 ₪ כולל מדור וזאת עד ה</w:t>
      </w:r>
      <w:r w:rsidR="0052599A">
        <w:rPr>
          <w:rFonts w:ascii="Arial" w:hAnsi="Arial" w:hint="cs"/>
          <w:rtl/>
        </w:rPr>
        <w:t xml:space="preserve">גיעה לגיל 18 או סיום בי"ס תיכון, על פי </w:t>
      </w:r>
      <w:r>
        <w:rPr>
          <w:rFonts w:ascii="Arial" w:hAnsi="Arial" w:hint="cs"/>
          <w:rtl/>
        </w:rPr>
        <w:t>המאוחר.</w:t>
      </w:r>
    </w:p>
    <w:p w:rsidR="008E6A0E" w:rsidRPr="00CB0F29" w:rsidRDefault="0052599A" w:rsidP="00BF7A75">
      <w:pPr>
        <w:pStyle w:val="10"/>
        <w:numPr>
          <w:ilvl w:val="0"/>
          <w:numId w:val="6"/>
        </w:numPr>
        <w:spacing w:after="160" w:line="360" w:lineRule="auto"/>
        <w:ind w:left="1077" w:hanging="357"/>
        <w:contextualSpacing w:val="0"/>
        <w:jc w:val="both"/>
        <w:rPr>
          <w:rFonts w:ascii="David" w:hAnsi="David"/>
          <w:rtl/>
        </w:rPr>
      </w:pPr>
      <w:r>
        <w:rPr>
          <w:rFonts w:ascii="Arial" w:hAnsi="Arial"/>
          <w:rtl/>
        </w:rPr>
        <w:t xml:space="preserve">ממועד הגעת הקטינה לגיל 18 </w:t>
      </w:r>
      <w:r w:rsidR="008E6A0E">
        <w:rPr>
          <w:rFonts w:ascii="Arial" w:hAnsi="Arial"/>
          <w:rtl/>
        </w:rPr>
        <w:t>או סיום ב</w:t>
      </w:r>
      <w:r>
        <w:rPr>
          <w:rFonts w:ascii="Arial" w:hAnsi="Arial"/>
          <w:rtl/>
        </w:rPr>
        <w:t>י"ס תיכון, על פי המאוחר, ישלם ה</w:t>
      </w:r>
      <w:r>
        <w:rPr>
          <w:rFonts w:ascii="Arial" w:hAnsi="Arial" w:hint="cs"/>
          <w:rtl/>
        </w:rPr>
        <w:t>נתבע</w:t>
      </w:r>
      <w:r w:rsidR="008E6A0E">
        <w:rPr>
          <w:rFonts w:ascii="Arial" w:hAnsi="Arial"/>
          <w:rtl/>
        </w:rPr>
        <w:t xml:space="preserve"> </w:t>
      </w:r>
      <w:r w:rsidR="00BF7A75">
        <w:rPr>
          <w:rFonts w:ascii="Arial" w:hAnsi="Arial" w:hint="cs"/>
          <w:rtl/>
        </w:rPr>
        <w:t>1/3</w:t>
      </w:r>
      <w:r w:rsidR="008E6A0E">
        <w:rPr>
          <w:rFonts w:ascii="Arial" w:hAnsi="Arial"/>
          <w:rtl/>
        </w:rPr>
        <w:t xml:space="preserve"> </w:t>
      </w:r>
      <w:r w:rsidR="008E6A0E" w:rsidRPr="00CB0F29">
        <w:rPr>
          <w:rFonts w:ascii="David" w:hAnsi="David"/>
          <w:rtl/>
        </w:rPr>
        <w:t>מסכום המזונו</w:t>
      </w:r>
      <w:r>
        <w:rPr>
          <w:rFonts w:ascii="David" w:hAnsi="David"/>
          <w:rtl/>
        </w:rPr>
        <w:t>ת המשולם</w:t>
      </w:r>
      <w:r>
        <w:rPr>
          <w:rFonts w:ascii="David" w:hAnsi="David" w:hint="cs"/>
          <w:rtl/>
        </w:rPr>
        <w:t>.</w:t>
      </w:r>
    </w:p>
    <w:p w:rsidR="00CB0F29" w:rsidRPr="00CB0F29" w:rsidRDefault="00CB0F29" w:rsidP="0052599A">
      <w:pPr>
        <w:pStyle w:val="ad"/>
        <w:numPr>
          <w:ilvl w:val="0"/>
          <w:numId w:val="6"/>
        </w:numPr>
        <w:spacing w:line="360" w:lineRule="auto"/>
        <w:ind w:left="1077" w:hanging="357"/>
        <w:contextualSpacing w:val="0"/>
        <w:jc w:val="both"/>
        <w:rPr>
          <w:rFonts w:ascii="David" w:hAnsi="David" w:cs="David"/>
          <w:sz w:val="24"/>
          <w:szCs w:val="24"/>
          <w:rtl/>
        </w:rPr>
      </w:pPr>
      <w:r w:rsidRPr="00CB0F29">
        <w:rPr>
          <w:rFonts w:ascii="David" w:hAnsi="David" w:cs="David"/>
          <w:sz w:val="24"/>
          <w:szCs w:val="24"/>
          <w:rtl/>
        </w:rPr>
        <w:t>בנוסף ישא הנתבע בתשלום מחצית הוצאות חינוך בכפוף להצגת קבלות על תשלום בפועל ובקיזוז מענק לימודים המתקבל מהמל"ל בתחילת השנה, ככל שמתקבל.</w:t>
      </w:r>
    </w:p>
    <w:p w:rsidR="00CB0F29" w:rsidRPr="00E23132" w:rsidRDefault="00CB0F29" w:rsidP="0052599A">
      <w:pPr>
        <w:pStyle w:val="ad"/>
        <w:numPr>
          <w:ilvl w:val="0"/>
          <w:numId w:val="6"/>
        </w:numPr>
        <w:spacing w:line="360" w:lineRule="auto"/>
        <w:ind w:left="1077" w:hanging="357"/>
        <w:contextualSpacing w:val="0"/>
        <w:jc w:val="both"/>
        <w:rPr>
          <w:rFonts w:ascii="David" w:hAnsi="David" w:cs="David"/>
          <w:sz w:val="24"/>
          <w:szCs w:val="24"/>
          <w:rtl/>
        </w:rPr>
      </w:pPr>
      <w:r w:rsidRPr="00CB0F29">
        <w:rPr>
          <w:rFonts w:ascii="David" w:hAnsi="David" w:cs="David"/>
          <w:sz w:val="24"/>
          <w:szCs w:val="24"/>
          <w:rtl/>
        </w:rPr>
        <w:t>בגדר הוצאות חינוך יבואו גם הוצאות בגין צהרון בעלות ציבורית עד סיום כיתה ד'.</w:t>
      </w:r>
    </w:p>
    <w:p w:rsidR="00CB0F29" w:rsidRPr="00CB0F29" w:rsidRDefault="0052599A" w:rsidP="0052599A">
      <w:pPr>
        <w:pStyle w:val="ad"/>
        <w:numPr>
          <w:ilvl w:val="0"/>
          <w:numId w:val="6"/>
        </w:numPr>
        <w:spacing w:line="360" w:lineRule="auto"/>
        <w:ind w:left="1077" w:hanging="357"/>
        <w:contextualSpacing w:val="0"/>
        <w:jc w:val="both"/>
        <w:rPr>
          <w:rFonts w:ascii="David" w:hAnsi="David" w:cs="David"/>
          <w:sz w:val="24"/>
          <w:szCs w:val="24"/>
          <w:rtl/>
        </w:rPr>
      </w:pPr>
      <w:r>
        <w:rPr>
          <w:rFonts w:ascii="David" w:hAnsi="David" w:cs="David"/>
          <w:sz w:val="24"/>
          <w:szCs w:val="24"/>
          <w:rtl/>
        </w:rPr>
        <w:t>בנוסף ישא ה</w:t>
      </w:r>
      <w:r>
        <w:rPr>
          <w:rFonts w:ascii="David" w:hAnsi="David" w:cs="David" w:hint="cs"/>
          <w:sz w:val="24"/>
          <w:szCs w:val="24"/>
          <w:rtl/>
        </w:rPr>
        <w:t>נתבע</w:t>
      </w:r>
      <w:r w:rsidR="00CB0F29" w:rsidRPr="00CB0F29">
        <w:rPr>
          <w:rFonts w:ascii="David" w:hAnsi="David" w:cs="David"/>
          <w:sz w:val="24"/>
          <w:szCs w:val="24"/>
          <w:rtl/>
        </w:rPr>
        <w:t xml:space="preserve"> בתשלום מחצית הוצאות חוג אחד ומחזור אחד של קייטנה בכל חופשת קיץ, בעלות ציבורית ובכפוף להצגת קבלות על תשלום בפועל.</w:t>
      </w:r>
    </w:p>
    <w:p w:rsidR="00CB0F29" w:rsidRPr="00E23132" w:rsidRDefault="0052599A" w:rsidP="0052599A">
      <w:pPr>
        <w:pStyle w:val="ad"/>
        <w:numPr>
          <w:ilvl w:val="0"/>
          <w:numId w:val="6"/>
        </w:numPr>
        <w:spacing w:line="360" w:lineRule="auto"/>
        <w:ind w:left="1077" w:hanging="357"/>
        <w:contextualSpacing w:val="0"/>
        <w:jc w:val="both"/>
        <w:rPr>
          <w:rFonts w:ascii="David" w:hAnsi="David" w:cs="David"/>
          <w:sz w:val="24"/>
          <w:szCs w:val="24"/>
          <w:rtl/>
        </w:rPr>
      </w:pPr>
      <w:r>
        <w:rPr>
          <w:rFonts w:ascii="David" w:hAnsi="David" w:cs="David"/>
          <w:sz w:val="24"/>
          <w:szCs w:val="24"/>
          <w:rtl/>
        </w:rPr>
        <w:t>בנוסף ישא ה</w:t>
      </w:r>
      <w:r>
        <w:rPr>
          <w:rFonts w:ascii="David" w:hAnsi="David" w:cs="David" w:hint="cs"/>
          <w:sz w:val="24"/>
          <w:szCs w:val="24"/>
          <w:rtl/>
        </w:rPr>
        <w:t>נתבע</w:t>
      </w:r>
      <w:r w:rsidR="00CB0F29" w:rsidRPr="00E23132">
        <w:rPr>
          <w:rFonts w:ascii="David" w:hAnsi="David" w:cs="David"/>
          <w:sz w:val="24"/>
          <w:szCs w:val="24"/>
          <w:rtl/>
        </w:rPr>
        <w:t xml:space="preserve"> בתשלום מחצית הוצאות רפואיות חריגות שאינן מכוסות ע"י הביטוח הרפואי, בכפוף להצגת קבלות על תשלום בפועל.</w:t>
      </w:r>
    </w:p>
    <w:p w:rsidR="004C37F9" w:rsidRPr="00E23132" w:rsidRDefault="004C37F9" w:rsidP="0052599A">
      <w:pPr>
        <w:pStyle w:val="ad"/>
        <w:numPr>
          <w:ilvl w:val="0"/>
          <w:numId w:val="6"/>
        </w:numPr>
        <w:spacing w:line="360" w:lineRule="auto"/>
        <w:ind w:left="1077" w:hanging="357"/>
        <w:contextualSpacing w:val="0"/>
        <w:jc w:val="both"/>
        <w:rPr>
          <w:rFonts w:ascii="David" w:hAnsi="David" w:cs="David"/>
          <w:sz w:val="24"/>
          <w:szCs w:val="24"/>
          <w:rtl/>
        </w:rPr>
      </w:pPr>
      <w:r w:rsidRPr="00E23132">
        <w:rPr>
          <w:rFonts w:ascii="David" w:hAnsi="David" w:cs="David"/>
          <w:sz w:val="24"/>
          <w:szCs w:val="24"/>
          <w:rtl/>
        </w:rPr>
        <w:t xml:space="preserve">המדד לחישוב ההצמדה כאמור יהא מדד חודש </w:t>
      </w:r>
      <w:r w:rsidR="00CB0F29" w:rsidRPr="00E23132">
        <w:rPr>
          <w:rFonts w:ascii="David" w:hAnsi="David" w:cs="David"/>
          <w:sz w:val="24"/>
          <w:szCs w:val="24"/>
          <w:rtl/>
        </w:rPr>
        <w:t>אוקטובר</w:t>
      </w:r>
      <w:r w:rsidRPr="00E23132">
        <w:rPr>
          <w:rFonts w:ascii="David" w:hAnsi="David" w:cs="David"/>
          <w:sz w:val="24"/>
          <w:szCs w:val="24"/>
          <w:rtl/>
        </w:rPr>
        <w:t xml:space="preserve"> ש</w:t>
      </w:r>
      <w:r w:rsidR="00CB0F29" w:rsidRPr="00E23132">
        <w:rPr>
          <w:rFonts w:ascii="David" w:hAnsi="David" w:cs="David"/>
          <w:sz w:val="24"/>
          <w:szCs w:val="24"/>
          <w:rtl/>
        </w:rPr>
        <w:t>יפורסם ביום 15.</w:t>
      </w:r>
      <w:r w:rsidR="003F1161">
        <w:rPr>
          <w:rFonts w:ascii="David" w:hAnsi="David" w:cs="David" w:hint="cs"/>
          <w:sz w:val="24"/>
          <w:szCs w:val="24"/>
          <w:rtl/>
        </w:rPr>
        <w:t>12</w:t>
      </w:r>
      <w:r w:rsidR="00CB0F29" w:rsidRPr="00E23132">
        <w:rPr>
          <w:rFonts w:ascii="David" w:hAnsi="David" w:cs="David"/>
          <w:sz w:val="24"/>
          <w:szCs w:val="24"/>
          <w:rtl/>
        </w:rPr>
        <w:t>.24.</w:t>
      </w:r>
    </w:p>
    <w:p w:rsidR="004C37F9" w:rsidRPr="00E23132" w:rsidRDefault="004C37F9" w:rsidP="0052599A">
      <w:pPr>
        <w:pStyle w:val="ad"/>
        <w:numPr>
          <w:ilvl w:val="0"/>
          <w:numId w:val="6"/>
        </w:numPr>
        <w:spacing w:line="360" w:lineRule="auto"/>
        <w:ind w:left="1077" w:hanging="357"/>
        <w:contextualSpacing w:val="0"/>
        <w:jc w:val="both"/>
        <w:rPr>
          <w:rFonts w:ascii="David" w:hAnsi="David" w:cs="David"/>
          <w:sz w:val="24"/>
          <w:szCs w:val="24"/>
          <w:rtl/>
        </w:rPr>
      </w:pPr>
      <w:r w:rsidRPr="00E23132">
        <w:rPr>
          <w:rFonts w:ascii="David" w:hAnsi="David" w:cs="David"/>
          <w:sz w:val="24"/>
          <w:szCs w:val="24"/>
          <w:rtl/>
        </w:rPr>
        <w:t xml:space="preserve">כל תשלום שלא ישולם במועד ישא הפרשי הצמדה וריבית מהמועד </w:t>
      </w:r>
      <w:r w:rsidR="00E23132" w:rsidRPr="00E23132">
        <w:rPr>
          <w:rFonts w:ascii="David" w:hAnsi="David" w:cs="David"/>
          <w:sz w:val="24"/>
          <w:szCs w:val="24"/>
          <w:rtl/>
        </w:rPr>
        <w:t>שנקבע לתשלומו ועד התשלום בפועל.</w:t>
      </w:r>
    </w:p>
    <w:p w:rsidR="004C37F9" w:rsidRPr="00E23132" w:rsidRDefault="004C37F9" w:rsidP="0052599A">
      <w:pPr>
        <w:pStyle w:val="ad"/>
        <w:numPr>
          <w:ilvl w:val="0"/>
          <w:numId w:val="6"/>
        </w:numPr>
        <w:spacing w:line="360" w:lineRule="auto"/>
        <w:ind w:left="1077" w:hanging="357"/>
        <w:contextualSpacing w:val="0"/>
        <w:jc w:val="both"/>
        <w:rPr>
          <w:rFonts w:ascii="David" w:hAnsi="David" w:cs="David"/>
          <w:sz w:val="24"/>
          <w:szCs w:val="24"/>
          <w:rtl/>
        </w:rPr>
      </w:pPr>
      <w:r w:rsidRPr="00E23132">
        <w:rPr>
          <w:rFonts w:ascii="David" w:hAnsi="David" w:cs="David"/>
          <w:sz w:val="24"/>
          <w:szCs w:val="24"/>
          <w:rtl/>
        </w:rPr>
        <w:t>הנתבע יהא זכאי לנכות כל סכום ששילם לידי אם ה</w:t>
      </w:r>
      <w:r w:rsidR="00CB0F29" w:rsidRPr="00E23132">
        <w:rPr>
          <w:rFonts w:ascii="David" w:hAnsi="David" w:cs="David"/>
          <w:sz w:val="24"/>
          <w:szCs w:val="24"/>
          <w:rtl/>
        </w:rPr>
        <w:t>קטינה</w:t>
      </w:r>
      <w:r w:rsidRPr="00E23132">
        <w:rPr>
          <w:rFonts w:ascii="David" w:hAnsi="David" w:cs="David"/>
          <w:sz w:val="24"/>
          <w:szCs w:val="24"/>
          <w:rtl/>
        </w:rPr>
        <w:t xml:space="preserve"> כמזונות עבור</w:t>
      </w:r>
      <w:r w:rsidR="00CB0F29" w:rsidRPr="00E23132">
        <w:rPr>
          <w:rFonts w:ascii="David" w:hAnsi="David" w:cs="David"/>
          <w:sz w:val="24"/>
          <w:szCs w:val="24"/>
          <w:rtl/>
        </w:rPr>
        <w:t>ה</w:t>
      </w:r>
      <w:r w:rsidRPr="00E23132">
        <w:rPr>
          <w:rFonts w:ascii="David" w:hAnsi="David" w:cs="David"/>
          <w:sz w:val="24"/>
          <w:szCs w:val="24"/>
          <w:rtl/>
        </w:rPr>
        <w:t xml:space="preserve"> בגין תקופת החיוב לשעבר.</w:t>
      </w:r>
    </w:p>
    <w:p w:rsidR="004C37F9" w:rsidRPr="00E23132" w:rsidRDefault="004C37F9" w:rsidP="0052599A">
      <w:pPr>
        <w:pStyle w:val="ad"/>
        <w:numPr>
          <w:ilvl w:val="0"/>
          <w:numId w:val="6"/>
        </w:numPr>
        <w:spacing w:line="360" w:lineRule="auto"/>
        <w:ind w:left="1077" w:hanging="357"/>
        <w:contextualSpacing w:val="0"/>
        <w:jc w:val="both"/>
        <w:rPr>
          <w:rFonts w:ascii="David" w:hAnsi="David" w:cs="David"/>
          <w:sz w:val="24"/>
          <w:szCs w:val="24"/>
          <w:rtl/>
        </w:rPr>
      </w:pPr>
      <w:r w:rsidRPr="00E23132">
        <w:rPr>
          <w:rFonts w:ascii="David" w:hAnsi="David" w:cs="David"/>
          <w:sz w:val="24"/>
          <w:szCs w:val="24"/>
          <w:rtl/>
        </w:rPr>
        <w:t>קצבת הילדים של המל"ל עבור הקטינ</w:t>
      </w:r>
      <w:r w:rsidR="00236BB7">
        <w:rPr>
          <w:rFonts w:ascii="David" w:hAnsi="David" w:cs="David" w:hint="cs"/>
          <w:sz w:val="24"/>
          <w:szCs w:val="24"/>
          <w:rtl/>
        </w:rPr>
        <w:t>ה</w:t>
      </w:r>
      <w:r w:rsidRPr="00E23132">
        <w:rPr>
          <w:rFonts w:ascii="David" w:hAnsi="David" w:cs="David"/>
          <w:sz w:val="24"/>
          <w:szCs w:val="24"/>
          <w:rtl/>
        </w:rPr>
        <w:t xml:space="preserve"> תשולם לידי האם ותתווסף לדמי המזונות שנפסקו לעיל.</w:t>
      </w:r>
    </w:p>
    <w:p w:rsidR="00C354A4" w:rsidRPr="00C354A4" w:rsidRDefault="004C37F9" w:rsidP="00C354A4">
      <w:pPr>
        <w:pStyle w:val="ad"/>
        <w:numPr>
          <w:ilvl w:val="0"/>
          <w:numId w:val="4"/>
        </w:numPr>
        <w:spacing w:after="120" w:line="360" w:lineRule="auto"/>
        <w:contextualSpacing w:val="0"/>
        <w:jc w:val="both"/>
        <w:rPr>
          <w:rFonts w:ascii="David" w:hAnsi="David" w:cs="David"/>
          <w:sz w:val="24"/>
          <w:szCs w:val="24"/>
        </w:rPr>
      </w:pPr>
      <w:r w:rsidRPr="00C354A4">
        <w:rPr>
          <w:rFonts w:ascii="David" w:hAnsi="David" w:cs="David"/>
          <w:sz w:val="24"/>
          <w:szCs w:val="24"/>
          <w:rtl/>
        </w:rPr>
        <w:t>ב</w:t>
      </w:r>
      <w:r w:rsidR="00CB0F29" w:rsidRPr="00C354A4">
        <w:rPr>
          <w:rFonts w:ascii="David" w:hAnsi="David" w:cs="David"/>
          <w:sz w:val="24"/>
          <w:szCs w:val="24"/>
          <w:rtl/>
        </w:rPr>
        <w:t>כך מסתיים בירור התובענה שבכותרת.</w:t>
      </w:r>
      <w:r w:rsidR="003F1161" w:rsidRPr="00C354A4">
        <w:rPr>
          <w:rFonts w:ascii="David" w:hAnsi="David" w:cs="David"/>
          <w:sz w:val="24"/>
          <w:szCs w:val="24"/>
          <w:rtl/>
        </w:rPr>
        <w:t xml:space="preserve"> </w:t>
      </w:r>
    </w:p>
    <w:p w:rsidR="00C354A4" w:rsidRDefault="003F1161" w:rsidP="00C354A4">
      <w:pPr>
        <w:pStyle w:val="ad"/>
        <w:numPr>
          <w:ilvl w:val="0"/>
          <w:numId w:val="4"/>
        </w:numPr>
        <w:spacing w:after="120" w:line="360" w:lineRule="auto"/>
        <w:contextualSpacing w:val="0"/>
        <w:jc w:val="both"/>
        <w:rPr>
          <w:rFonts w:ascii="David" w:hAnsi="David" w:cs="David"/>
          <w:sz w:val="24"/>
          <w:szCs w:val="24"/>
        </w:rPr>
      </w:pPr>
      <w:r w:rsidRPr="00C354A4">
        <w:rPr>
          <w:rFonts w:ascii="David" w:hAnsi="David" w:cs="David"/>
          <w:sz w:val="24"/>
          <w:szCs w:val="24"/>
          <w:rtl/>
        </w:rPr>
        <w:t>הנתבע ישלם לתובעת הוצאות ההליך בסך 10,000 ₪ אשר ישולמו בתוך 30 ימים כשהסכום נושא הפרשי הצמדה וריבית עד מועד התשלום בפועל.</w:t>
      </w:r>
    </w:p>
    <w:p w:rsidR="00C354A4" w:rsidRPr="00BF7A75" w:rsidRDefault="00BF7A75" w:rsidP="00BF7A75">
      <w:pPr>
        <w:spacing w:after="120" w:line="360" w:lineRule="auto"/>
        <w:ind w:left="360"/>
        <w:jc w:val="both"/>
        <w:rPr>
          <w:rFonts w:ascii="David" w:hAnsi="David"/>
        </w:rPr>
      </w:pPr>
      <w:r>
        <w:rPr>
          <w:rFonts w:ascii="David" w:hAnsi="David" w:hint="cs"/>
          <w:rtl/>
        </w:rPr>
        <w:t xml:space="preserve">30. </w:t>
      </w:r>
      <w:r w:rsidR="00C354A4" w:rsidRPr="00BF7A75">
        <w:rPr>
          <w:rFonts w:ascii="David" w:hAnsi="David"/>
          <w:rtl/>
        </w:rPr>
        <w:t xml:space="preserve">מתירה העברה </w:t>
      </w:r>
      <w:r w:rsidR="00657A23" w:rsidRPr="00BF7A75">
        <w:rPr>
          <w:rFonts w:ascii="David" w:hAnsi="David"/>
          <w:rtl/>
        </w:rPr>
        <w:t>למאגרי פסיקה בהשמטת פרטים מזהים.</w:t>
      </w:r>
    </w:p>
    <w:p w:rsidR="004C37F9" w:rsidRPr="00C354A4" w:rsidRDefault="004C37F9" w:rsidP="00C354A4">
      <w:pPr>
        <w:pStyle w:val="ad"/>
        <w:spacing w:after="120" w:line="360" w:lineRule="auto"/>
        <w:contextualSpacing w:val="0"/>
        <w:jc w:val="both"/>
        <w:rPr>
          <w:rFonts w:ascii="David" w:hAnsi="David" w:cs="David"/>
          <w:sz w:val="24"/>
          <w:szCs w:val="24"/>
          <w:rtl/>
        </w:rPr>
      </w:pPr>
      <w:r w:rsidRPr="00C354A4">
        <w:rPr>
          <w:rFonts w:ascii="David" w:hAnsi="David" w:cs="David"/>
          <w:sz w:val="24"/>
          <w:szCs w:val="24"/>
          <w:rtl/>
        </w:rPr>
        <w:t>המזכירות</w:t>
      </w:r>
      <w:r w:rsidR="00CB0F29" w:rsidRPr="00C354A4">
        <w:rPr>
          <w:rFonts w:ascii="David" w:hAnsi="David" w:cs="David"/>
          <w:sz w:val="24"/>
          <w:szCs w:val="24"/>
          <w:rtl/>
        </w:rPr>
        <w:t xml:space="preserve"> תשלח פסה"ד לצדדים ו</w:t>
      </w:r>
      <w:r w:rsidRPr="00C354A4">
        <w:rPr>
          <w:rFonts w:ascii="David" w:hAnsi="David" w:cs="David"/>
          <w:sz w:val="24"/>
          <w:szCs w:val="24"/>
          <w:rtl/>
        </w:rPr>
        <w:t>תסגור את התיק.</w:t>
      </w:r>
    </w:p>
    <w:p w:rsidR="005B0F49" w:rsidRDefault="00005C8B" w:rsidP="003E3E6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דצמבר 2024</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AE0B84" w:rsidP="00633C4F">
      <w:pPr>
        <w:spacing w:line="360" w:lineRule="auto"/>
        <w:ind w:left="3600" w:firstLine="720"/>
      </w:pPr>
      <w:sdt>
        <w:sdtPr>
          <w:rPr>
            <w:rtl/>
          </w:rPr>
          <w:alias w:val="MergeField"/>
          <w:tag w:val="1237"/>
          <w:id w:val="-2040039586"/>
        </w:sdtPr>
        <w:sdtEndPr/>
        <w:sdtContent>
          <w:r w:rsidR="00290A21">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2362200" cy="476249"/>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90389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B84" w:rsidRDefault="00AE0B84">
      <w:r>
        <w:separator/>
      </w:r>
    </w:p>
  </w:endnote>
  <w:endnote w:type="continuationSeparator" w:id="0">
    <w:p w:rsidR="00AE0B84" w:rsidRDefault="00AE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A8" w:rsidRDefault="005D32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32A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32A8">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A8" w:rsidRDefault="005D32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B84" w:rsidRDefault="00AE0B84">
      <w:r>
        <w:separator/>
      </w:r>
    </w:p>
  </w:footnote>
  <w:footnote w:type="continuationSeparator" w:id="0">
    <w:p w:rsidR="00AE0B84" w:rsidRDefault="00AE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A8" w:rsidRDefault="005D32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BF7A75">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bookmarkStart w:id="2" w:name="_GoBack"/>
    <w:tr w:rsidR="00694556" w:rsidTr="00BF7A75">
      <w:trPr>
        <w:trHeight w:val="415"/>
        <w:jc w:val="center"/>
      </w:trPr>
      <w:tc>
        <w:tcPr>
          <w:tcW w:w="8505" w:type="dxa"/>
        </w:tcPr>
        <w:p w:rsidR="00694556" w:rsidRDefault="00AE0B84" w:rsidP="003E3E6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53078-09-20</w:t>
              </w:r>
            </w:sdtContent>
          </w:sdt>
          <w:bookmarkEnd w:id="2"/>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E3E61">
                <w:rPr>
                  <w:rFonts w:hint="cs"/>
                  <w:b/>
                  <w:bCs/>
                  <w:noProof w:val="0"/>
                  <w:sz w:val="26"/>
                  <w:szCs w:val="26"/>
                  <w:rtl/>
                </w:rPr>
                <w:t>פלונית</w:t>
              </w:r>
              <w:r w:rsidR="00FB3C14">
                <w:rPr>
                  <w:b/>
                  <w:bCs/>
                  <w:noProof w:val="0"/>
                  <w:sz w:val="26"/>
                  <w:szCs w:val="26"/>
                  <w:rtl/>
                </w:rPr>
                <w:t xml:space="preserve"> נ' </w:t>
              </w:r>
              <w:r w:rsidR="003E3E61">
                <w:rPr>
                  <w:rFonts w:hint="cs"/>
                  <w:b/>
                  <w:bCs/>
                  <w:noProof w:val="0"/>
                  <w:sz w:val="26"/>
                  <w:szCs w:val="26"/>
                  <w:rtl/>
                </w:rPr>
                <w:t xml:space="preserve">פלוני </w:t>
              </w:r>
              <w:r w:rsidR="00FB3C14">
                <w:rPr>
                  <w:b/>
                  <w:bCs/>
                  <w:noProof w:val="0"/>
                  <w:sz w:val="26"/>
                  <w:szCs w:val="26"/>
                  <w:rtl/>
                </w:rPr>
                <w:t>(אסיר)</w:t>
              </w:r>
            </w:sdtContent>
          </w:sdt>
        </w:p>
        <w:p w:rsidR="00694556" w:rsidRPr="00957C90" w:rsidRDefault="00694556">
          <w:pPr>
            <w:rPr>
              <w:b/>
              <w:bCs/>
              <w:noProof w:val="0"/>
              <w:sz w:val="2"/>
              <w:szCs w:val="2"/>
              <w:rtl/>
            </w:rPr>
          </w:pPr>
        </w:p>
        <w:p w:rsidR="00957C90" w:rsidRPr="00957C90" w:rsidRDefault="00957C90" w:rsidP="00666BBA">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A8" w:rsidRDefault="005D32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2135D"/>
    <w:multiLevelType w:val="hybridMultilevel"/>
    <w:tmpl w:val="47D06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6A5ADE"/>
    <w:multiLevelType w:val="hybridMultilevel"/>
    <w:tmpl w:val="04C66EAE"/>
    <w:lvl w:ilvl="0" w:tplc="90F22696">
      <w:start w:val="6"/>
      <w:numFmt w:val="decimal"/>
      <w:lvlText w:val="%1."/>
      <w:lvlJc w:val="left"/>
      <w:pPr>
        <w:ind w:left="1040" w:hanging="360"/>
      </w:pPr>
      <w:rPr>
        <w:rFonts w:ascii="David" w:hAnsi="David" w:cs="David" w:hint="default"/>
        <w:b w:val="0"/>
        <w:bCs w:val="0"/>
        <w:sz w:val="24"/>
        <w:szCs w:val="24"/>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3677398F"/>
    <w:multiLevelType w:val="hybridMultilevel"/>
    <w:tmpl w:val="E47E48B4"/>
    <w:lvl w:ilvl="0" w:tplc="90F22696">
      <w:start w:val="6"/>
      <w:numFmt w:val="decimal"/>
      <w:lvlText w:val="%1."/>
      <w:lvlJc w:val="left"/>
      <w:pPr>
        <w:ind w:left="1760" w:hanging="360"/>
      </w:pPr>
      <w:rPr>
        <w:rFonts w:ascii="David" w:hAnsi="David" w:cs="David" w:hint="default"/>
        <w:b w:val="0"/>
        <w:bCs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CD43118"/>
    <w:multiLevelType w:val="hybridMultilevel"/>
    <w:tmpl w:val="41C20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20D8E"/>
    <w:multiLevelType w:val="hybridMultilevel"/>
    <w:tmpl w:val="4F34101A"/>
    <w:lvl w:ilvl="0" w:tplc="30DCB67A">
      <w:start w:val="1"/>
      <w:numFmt w:val="hebrew1"/>
      <w:lvlText w:val="%1."/>
      <w:lvlJc w:val="left"/>
      <w:pPr>
        <w:ind w:left="1080" w:hanging="360"/>
      </w:pPr>
      <w:rPr>
        <w:rFonts w:ascii="Arial" w:eastAsia="Times New Roman" w:hAnsi="Arial" w:cs="David"/>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50C70"/>
    <w:multiLevelType w:val="hybridMultilevel"/>
    <w:tmpl w:val="BEE83AEE"/>
    <w:lvl w:ilvl="0" w:tplc="258237A2">
      <w:start w:val="1"/>
      <w:numFmt w:val="decimal"/>
      <w:lvlText w:val="%1."/>
      <w:lvlJc w:val="left"/>
      <w:pPr>
        <w:ind w:left="720" w:hanging="360"/>
      </w:pPr>
      <w:rPr>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BB5586"/>
    <w:multiLevelType w:val="hybridMultilevel"/>
    <w:tmpl w:val="51C0C05C"/>
    <w:lvl w:ilvl="0" w:tplc="3AE4AE3A">
      <w:start w:val="1"/>
      <w:numFmt w:val="decimal"/>
      <w:lvlText w:val="%1."/>
      <w:lvlJc w:val="left"/>
      <w:pPr>
        <w:ind w:left="720" w:hanging="720"/>
      </w:pPr>
      <w:rPr>
        <w:rFonts w:cs="David"/>
        <w:b w:val="0"/>
        <w:bCs w:val="0"/>
      </w:rPr>
    </w:lvl>
    <w:lvl w:ilvl="1" w:tplc="1764DEB2">
      <w:start w:val="1"/>
      <w:numFmt w:val="hebrew1"/>
      <w:lvlText w:val="%2."/>
      <w:lvlJc w:val="center"/>
      <w:pPr>
        <w:tabs>
          <w:tab w:val="num" w:pos="1080"/>
        </w:tabs>
        <w:ind w:left="1080" w:hanging="360"/>
      </w:pPr>
      <w:rPr>
        <w:rFonts w:ascii="Symbol" w:hAnsi="Symbol" w:cs="David" w:hint="default"/>
        <w:sz w:val="2"/>
        <w:szCs w:val="24"/>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732E7D6D"/>
    <w:multiLevelType w:val="hybridMultilevel"/>
    <w:tmpl w:val="1B76FEA6"/>
    <w:lvl w:ilvl="0" w:tplc="212CD9CC">
      <w:start w:val="2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065D"/>
    <w:rsid w:val="000258FD"/>
    <w:rsid w:val="00047288"/>
    <w:rsid w:val="000564AB"/>
    <w:rsid w:val="000C7DB4"/>
    <w:rsid w:val="000D4A02"/>
    <w:rsid w:val="000E2215"/>
    <w:rsid w:val="000E489A"/>
    <w:rsid w:val="000E4F06"/>
    <w:rsid w:val="001072A9"/>
    <w:rsid w:val="00121F97"/>
    <w:rsid w:val="001242F1"/>
    <w:rsid w:val="001277D7"/>
    <w:rsid w:val="00132017"/>
    <w:rsid w:val="00135DC3"/>
    <w:rsid w:val="0014234E"/>
    <w:rsid w:val="00145A87"/>
    <w:rsid w:val="00155053"/>
    <w:rsid w:val="00190012"/>
    <w:rsid w:val="001C4003"/>
    <w:rsid w:val="001D1CD6"/>
    <w:rsid w:val="001F5474"/>
    <w:rsid w:val="001F6D6B"/>
    <w:rsid w:val="002352F7"/>
    <w:rsid w:val="00236BB7"/>
    <w:rsid w:val="0027277D"/>
    <w:rsid w:val="00290A21"/>
    <w:rsid w:val="002A3ED7"/>
    <w:rsid w:val="00363022"/>
    <w:rsid w:val="00381D3A"/>
    <w:rsid w:val="003823DA"/>
    <w:rsid w:val="003860E0"/>
    <w:rsid w:val="003A4915"/>
    <w:rsid w:val="003E3E61"/>
    <w:rsid w:val="003F1161"/>
    <w:rsid w:val="00400508"/>
    <w:rsid w:val="0043595F"/>
    <w:rsid w:val="0045439F"/>
    <w:rsid w:val="0047645A"/>
    <w:rsid w:val="004C37F9"/>
    <w:rsid w:val="004D49A3"/>
    <w:rsid w:val="004D50AC"/>
    <w:rsid w:val="004E6E3C"/>
    <w:rsid w:val="005124F1"/>
    <w:rsid w:val="0052599A"/>
    <w:rsid w:val="00530BAD"/>
    <w:rsid w:val="00541598"/>
    <w:rsid w:val="00547DB7"/>
    <w:rsid w:val="00552FB9"/>
    <w:rsid w:val="00567324"/>
    <w:rsid w:val="0058247C"/>
    <w:rsid w:val="005A0EDB"/>
    <w:rsid w:val="005B0F49"/>
    <w:rsid w:val="005C7EC6"/>
    <w:rsid w:val="005D32A8"/>
    <w:rsid w:val="005D4BDB"/>
    <w:rsid w:val="00610525"/>
    <w:rsid w:val="00622BAA"/>
    <w:rsid w:val="00625A23"/>
    <w:rsid w:val="00625C89"/>
    <w:rsid w:val="00633C4F"/>
    <w:rsid w:val="00657A23"/>
    <w:rsid w:val="00666BBA"/>
    <w:rsid w:val="00671B1F"/>
    <w:rsid w:val="00671BD5"/>
    <w:rsid w:val="006805C1"/>
    <w:rsid w:val="006816EC"/>
    <w:rsid w:val="00694556"/>
    <w:rsid w:val="006B1AA8"/>
    <w:rsid w:val="006B491D"/>
    <w:rsid w:val="006E1A53"/>
    <w:rsid w:val="007056AA"/>
    <w:rsid w:val="00705C01"/>
    <w:rsid w:val="00744F41"/>
    <w:rsid w:val="00795AC1"/>
    <w:rsid w:val="007A24FE"/>
    <w:rsid w:val="007A35AA"/>
    <w:rsid w:val="007A6AC6"/>
    <w:rsid w:val="007C3A6C"/>
    <w:rsid w:val="007D7EEC"/>
    <w:rsid w:val="007F1048"/>
    <w:rsid w:val="00800759"/>
    <w:rsid w:val="00820005"/>
    <w:rsid w:val="00846D27"/>
    <w:rsid w:val="008520B7"/>
    <w:rsid w:val="00856CC5"/>
    <w:rsid w:val="008610A7"/>
    <w:rsid w:val="00882C8D"/>
    <w:rsid w:val="008E1332"/>
    <w:rsid w:val="008E6A0E"/>
    <w:rsid w:val="00901B31"/>
    <w:rsid w:val="00903896"/>
    <w:rsid w:val="00924525"/>
    <w:rsid w:val="00927813"/>
    <w:rsid w:val="00944D13"/>
    <w:rsid w:val="00957C90"/>
    <w:rsid w:val="009B1F89"/>
    <w:rsid w:val="009B70F6"/>
    <w:rsid w:val="009C358E"/>
    <w:rsid w:val="009D40C9"/>
    <w:rsid w:val="009E0263"/>
    <w:rsid w:val="00A267CF"/>
    <w:rsid w:val="00A342BD"/>
    <w:rsid w:val="00A43458"/>
    <w:rsid w:val="00A821B3"/>
    <w:rsid w:val="00AC4E19"/>
    <w:rsid w:val="00AE05BA"/>
    <w:rsid w:val="00AE0B84"/>
    <w:rsid w:val="00AE3067"/>
    <w:rsid w:val="00AF1ED6"/>
    <w:rsid w:val="00B21D18"/>
    <w:rsid w:val="00B32C61"/>
    <w:rsid w:val="00B368FE"/>
    <w:rsid w:val="00B57699"/>
    <w:rsid w:val="00B6035C"/>
    <w:rsid w:val="00B7033F"/>
    <w:rsid w:val="00B7403E"/>
    <w:rsid w:val="00B80CBD"/>
    <w:rsid w:val="00BA0255"/>
    <w:rsid w:val="00BB4D20"/>
    <w:rsid w:val="00BC3369"/>
    <w:rsid w:val="00BE41E9"/>
    <w:rsid w:val="00BF77EE"/>
    <w:rsid w:val="00BF7A75"/>
    <w:rsid w:val="00C25D47"/>
    <w:rsid w:val="00C32E0F"/>
    <w:rsid w:val="00C354A4"/>
    <w:rsid w:val="00C42BF9"/>
    <w:rsid w:val="00C464CF"/>
    <w:rsid w:val="00C83E56"/>
    <w:rsid w:val="00C9393F"/>
    <w:rsid w:val="00CA1FA0"/>
    <w:rsid w:val="00CB0F29"/>
    <w:rsid w:val="00CC63CE"/>
    <w:rsid w:val="00D319B3"/>
    <w:rsid w:val="00D36A71"/>
    <w:rsid w:val="00D432B0"/>
    <w:rsid w:val="00D47AD7"/>
    <w:rsid w:val="00D53924"/>
    <w:rsid w:val="00D60849"/>
    <w:rsid w:val="00D83D94"/>
    <w:rsid w:val="00D96D8C"/>
    <w:rsid w:val="00DA755B"/>
    <w:rsid w:val="00DC3720"/>
    <w:rsid w:val="00DD2033"/>
    <w:rsid w:val="00DD337E"/>
    <w:rsid w:val="00DE385B"/>
    <w:rsid w:val="00E00B6F"/>
    <w:rsid w:val="00E23132"/>
    <w:rsid w:val="00E33F56"/>
    <w:rsid w:val="00E36901"/>
    <w:rsid w:val="00E44DDF"/>
    <w:rsid w:val="00E54642"/>
    <w:rsid w:val="00E7159D"/>
    <w:rsid w:val="00E97908"/>
    <w:rsid w:val="00EE5B4F"/>
    <w:rsid w:val="00EF3ED0"/>
    <w:rsid w:val="00F16730"/>
    <w:rsid w:val="00F17E56"/>
    <w:rsid w:val="00F54B0C"/>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04728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E5B4F"/>
    <w:pPr>
      <w:spacing w:after="160" w:line="259"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EE5B4F"/>
    <w:pPr>
      <w:ind w:left="720"/>
      <w:contextualSpacing/>
    </w:pPr>
  </w:style>
  <w:style w:type="character" w:customStyle="1" w:styleId="ae">
    <w:name w:val="פסקה רגילה תו"/>
    <w:link w:val="af"/>
    <w:locked/>
    <w:rsid w:val="00DD2033"/>
    <w:rPr>
      <w:rFonts w:cs="FrankRuehl"/>
      <w:kern w:val="28"/>
      <w:sz w:val="22"/>
      <w:szCs w:val="28"/>
    </w:rPr>
  </w:style>
  <w:style w:type="paragraph" w:customStyle="1" w:styleId="af">
    <w:name w:val="פסקה רגילה"/>
    <w:basedOn w:val="a"/>
    <w:link w:val="ae"/>
    <w:rsid w:val="00DD2033"/>
    <w:pPr>
      <w:snapToGrid w:val="0"/>
      <w:spacing w:after="120" w:line="276" w:lineRule="auto"/>
      <w:ind w:firstLine="397"/>
      <w:jc w:val="both"/>
    </w:pPr>
    <w:rPr>
      <w:rFonts w:cs="FrankRuehl"/>
      <w:noProof w:val="0"/>
      <w:kern w:val="28"/>
      <w:sz w:val="22"/>
      <w:szCs w:val="28"/>
    </w:rPr>
  </w:style>
  <w:style w:type="character" w:styleId="Hyperlink">
    <w:name w:val="Hyperlink"/>
    <w:semiHidden/>
    <w:unhideWhenUsed/>
    <w:rsid w:val="000E489A"/>
    <w:rPr>
      <w:color w:val="0000FF"/>
      <w:u w:val="single"/>
    </w:rPr>
  </w:style>
  <w:style w:type="paragraph" w:styleId="af0">
    <w:name w:val="Body Text Indent"/>
    <w:basedOn w:val="a"/>
    <w:link w:val="af1"/>
    <w:semiHidden/>
    <w:unhideWhenUsed/>
    <w:rsid w:val="000E489A"/>
    <w:pPr>
      <w:spacing w:line="360" w:lineRule="auto"/>
      <w:ind w:left="720" w:hanging="720"/>
      <w:jc w:val="both"/>
    </w:pPr>
    <w:rPr>
      <w:sz w:val="20"/>
      <w:lang w:eastAsia="he-IL"/>
    </w:rPr>
  </w:style>
  <w:style w:type="character" w:customStyle="1" w:styleId="af1">
    <w:name w:val="כניסה בגוף טקסט תו"/>
    <w:basedOn w:val="a0"/>
    <w:link w:val="af0"/>
    <w:semiHidden/>
    <w:rsid w:val="000E489A"/>
    <w:rPr>
      <w:rFonts w:cs="David"/>
      <w:noProof/>
      <w:szCs w:val="24"/>
      <w:lang w:eastAsia="he-IL"/>
    </w:rPr>
  </w:style>
  <w:style w:type="character" w:customStyle="1" w:styleId="50">
    <w:name w:val="כותרת 5 תו"/>
    <w:basedOn w:val="a0"/>
    <w:link w:val="5"/>
    <w:semiHidden/>
    <w:rsid w:val="00047288"/>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1199">
      <w:bodyDiv w:val="1"/>
      <w:marLeft w:val="0"/>
      <w:marRight w:val="0"/>
      <w:marTop w:val="0"/>
      <w:marBottom w:val="0"/>
      <w:divBdr>
        <w:top w:val="none" w:sz="0" w:space="0" w:color="auto"/>
        <w:left w:val="none" w:sz="0" w:space="0" w:color="auto"/>
        <w:bottom w:val="none" w:sz="0" w:space="0" w:color="auto"/>
        <w:right w:val="none" w:sz="0" w:space="0" w:color="auto"/>
      </w:divBdr>
    </w:div>
    <w:div w:id="139621662">
      <w:bodyDiv w:val="1"/>
      <w:marLeft w:val="0"/>
      <w:marRight w:val="0"/>
      <w:marTop w:val="0"/>
      <w:marBottom w:val="0"/>
      <w:divBdr>
        <w:top w:val="none" w:sz="0" w:space="0" w:color="auto"/>
        <w:left w:val="none" w:sz="0" w:space="0" w:color="auto"/>
        <w:bottom w:val="none" w:sz="0" w:space="0" w:color="auto"/>
        <w:right w:val="none" w:sz="0" w:space="0" w:color="auto"/>
      </w:divBdr>
    </w:div>
    <w:div w:id="334458706">
      <w:bodyDiv w:val="1"/>
      <w:marLeft w:val="0"/>
      <w:marRight w:val="0"/>
      <w:marTop w:val="0"/>
      <w:marBottom w:val="0"/>
      <w:divBdr>
        <w:top w:val="none" w:sz="0" w:space="0" w:color="auto"/>
        <w:left w:val="none" w:sz="0" w:space="0" w:color="auto"/>
        <w:bottom w:val="none" w:sz="0" w:space="0" w:color="auto"/>
        <w:right w:val="none" w:sz="0" w:space="0" w:color="auto"/>
      </w:divBdr>
    </w:div>
    <w:div w:id="360399781">
      <w:bodyDiv w:val="1"/>
      <w:marLeft w:val="0"/>
      <w:marRight w:val="0"/>
      <w:marTop w:val="0"/>
      <w:marBottom w:val="0"/>
      <w:divBdr>
        <w:top w:val="none" w:sz="0" w:space="0" w:color="auto"/>
        <w:left w:val="none" w:sz="0" w:space="0" w:color="auto"/>
        <w:bottom w:val="none" w:sz="0" w:space="0" w:color="auto"/>
        <w:right w:val="none" w:sz="0" w:space="0" w:color="auto"/>
      </w:divBdr>
    </w:div>
    <w:div w:id="37384841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87391254">
      <w:bodyDiv w:val="1"/>
      <w:marLeft w:val="0"/>
      <w:marRight w:val="0"/>
      <w:marTop w:val="0"/>
      <w:marBottom w:val="0"/>
      <w:divBdr>
        <w:top w:val="none" w:sz="0" w:space="0" w:color="auto"/>
        <w:left w:val="none" w:sz="0" w:space="0" w:color="auto"/>
        <w:bottom w:val="none" w:sz="0" w:space="0" w:color="auto"/>
        <w:right w:val="none" w:sz="0" w:space="0" w:color="auto"/>
      </w:divBdr>
    </w:div>
    <w:div w:id="130654980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256204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867786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59532843">
      <w:bodyDiv w:val="1"/>
      <w:marLeft w:val="0"/>
      <w:marRight w:val="0"/>
      <w:marTop w:val="0"/>
      <w:marBottom w:val="0"/>
      <w:divBdr>
        <w:top w:val="none" w:sz="0" w:space="0" w:color="auto"/>
        <w:left w:val="none" w:sz="0" w:space="0" w:color="auto"/>
        <w:bottom w:val="none" w:sz="0" w:space="0" w:color="auto"/>
        <w:right w:val="none" w:sz="0" w:space="0" w:color="auto"/>
      </w:divBdr>
    </w:div>
    <w:div w:id="20931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532/3.a" TargetMode="External"/><Relationship Id="rId13" Type="http://schemas.openxmlformats.org/officeDocument/2006/relationships/hyperlink" Target="http://www.nevo.co.il/case/17946697"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evo.co.il/case/2257078"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case/1793552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822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17911418" TargetMode="External"/><Relationship Id="rId23" Type="http://schemas.openxmlformats.org/officeDocument/2006/relationships/footer" Target="footer3.xml"/><Relationship Id="rId10" Type="http://schemas.openxmlformats.org/officeDocument/2006/relationships/hyperlink" Target="http://www.nevo.co.il/law/71532/6"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evo.co.il/law/71532" TargetMode="External"/><Relationship Id="rId14" Type="http://schemas.openxmlformats.org/officeDocument/2006/relationships/hyperlink" Target="http://www.nevo.co.il/case/17915454"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0547F"/>
    <w:rsid w:val="00833049"/>
    <w:rsid w:val="00B40AEB"/>
    <w:rsid w:val="00B61B30"/>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2053</Words>
  <Characters>10269</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2024-12-12T13:48:00Z</dcterms:created>
  <dcterms:modified xsi:type="dcterms:W3CDTF">2024-12-12T13:48:00Z</dcterms:modified>
</cp:coreProperties>
</file>